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after="120" w:line="440" w:lineRule="atLeast"/>
        <w:ind w:firstLine="280" w:firstLineChars="100"/>
        <w:rPr>
          <w:rStyle w:val="6"/>
          <w:rFonts w:ascii="Times New Roman" w:hAnsi="Times New Roman" w:eastAsia="华文宋体" w:cs="Times New Roman"/>
          <w:sz w:val="28"/>
          <w:szCs w:val="28"/>
          <w:shd w:val="clear" w:color="auto" w:fill="FFFFFF"/>
        </w:rPr>
      </w:pPr>
      <w:bookmarkStart w:id="0" w:name="_Hlk67043484"/>
      <w:bookmarkStart w:id="1" w:name="_Hlk78303952"/>
      <w:r>
        <w:rPr>
          <w:rStyle w:val="6"/>
          <w:rFonts w:ascii="Times New Roman" w:hAnsi="Times New Roman" w:eastAsia="华文宋体" w:cs="Times New Roman"/>
          <w:sz w:val="28"/>
          <w:szCs w:val="28"/>
          <w:shd w:val="clear" w:color="auto" w:fill="FFFFFF"/>
        </w:rPr>
        <w:t>附件1：</w:t>
      </w:r>
    </w:p>
    <w:p>
      <w:pPr>
        <w:adjustRightInd w:val="0"/>
        <w:snapToGrid w:val="0"/>
        <w:spacing w:after="120"/>
        <w:jc w:val="center"/>
        <w:rPr>
          <w:rFonts w:ascii="Times New Roman" w:hAnsi="Times New Roman" w:eastAsia="华文中宋" w:cs="Times New Roman"/>
          <w:sz w:val="36"/>
          <w:szCs w:val="36"/>
        </w:rPr>
      </w:pPr>
      <w:r>
        <w:rPr>
          <w:rFonts w:ascii="Times New Roman" w:hAnsi="Times New Roman" w:eastAsia="华文中宋" w:cs="Times New Roman"/>
          <w:sz w:val="36"/>
          <w:szCs w:val="36"/>
        </w:rPr>
        <w:t>《新青年全球胜任力</w:t>
      </w:r>
      <w:r>
        <w:rPr>
          <w:rFonts w:ascii="Times New Roman" w:hAnsi="Times New Roman" w:eastAsia="华文中宋" w:cs="Times New Roman"/>
          <w:sz w:val="36"/>
          <w:szCs w:val="36"/>
          <w:lang w:eastAsia="zh-Hans"/>
        </w:rPr>
        <w:t>人才</w:t>
      </w:r>
      <w:r>
        <w:rPr>
          <w:rFonts w:ascii="Times New Roman" w:hAnsi="Times New Roman" w:eastAsia="华文中宋" w:cs="Times New Roman"/>
          <w:sz w:val="36"/>
          <w:szCs w:val="36"/>
        </w:rPr>
        <w:t>培养项目</w:t>
      </w:r>
      <w:bookmarkEnd w:id="0"/>
      <w:r>
        <w:rPr>
          <w:rFonts w:ascii="Times New Roman" w:hAnsi="Times New Roman" w:eastAsia="华文中宋" w:cs="Times New Roman"/>
          <w:sz w:val="36"/>
          <w:szCs w:val="36"/>
        </w:rPr>
        <w:t>》</w:t>
      </w:r>
    </w:p>
    <w:p>
      <w:pPr>
        <w:adjustRightInd w:val="0"/>
        <w:snapToGrid w:val="0"/>
        <w:spacing w:after="120"/>
        <w:jc w:val="center"/>
        <w:rPr>
          <w:rFonts w:ascii="Times New Roman" w:hAnsi="Times New Roman" w:eastAsia="方正小标宋简体" w:cs="Times New Roman"/>
          <w:b/>
          <w:bCs/>
          <w:spacing w:val="200"/>
          <w:sz w:val="52"/>
          <w:szCs w:val="52"/>
        </w:rPr>
      </w:pPr>
      <w:r>
        <w:rPr>
          <w:rFonts w:ascii="Times New Roman" w:hAnsi="Times New Roman" w:eastAsia="方正小标宋简体" w:cs="Times New Roman"/>
          <w:b/>
          <w:bCs/>
          <w:spacing w:val="200"/>
          <w:sz w:val="52"/>
          <w:szCs w:val="52"/>
        </w:rPr>
        <w:t>培养方案</w:t>
      </w:r>
    </w:p>
    <w:p>
      <w:pPr>
        <w:pStyle w:val="2"/>
        <w:numPr>
          <w:ilvl w:val="0"/>
          <w:numId w:val="1"/>
        </w:numPr>
        <w:adjustRightInd w:val="0"/>
        <w:snapToGrid w:val="0"/>
        <w:spacing w:before="240" w:after="120" w:line="360" w:lineRule="atLeast"/>
        <w:ind w:left="0"/>
        <w:rPr>
          <w:rFonts w:ascii="Times New Roman" w:hAnsi="Times New Roman" w:cs="Times New Roman"/>
          <w:szCs w:val="28"/>
        </w:rPr>
      </w:pPr>
      <w:r>
        <w:rPr>
          <w:rFonts w:ascii="Times New Roman" w:hAnsi="Times New Roman" w:cs="Times New Roman"/>
          <w:b/>
          <w:bCs/>
        </w:rPr>
        <w:t>培养目标</w:t>
      </w:r>
    </w:p>
    <w:p>
      <w:pPr>
        <w:pStyle w:val="3"/>
        <w:adjustRightInd w:val="0"/>
        <w:snapToGrid w:val="0"/>
        <w:spacing w:before="0" w:beforeAutospacing="0" w:after="120" w:afterAutospacing="0" w:line="360" w:lineRule="atLeast"/>
        <w:ind w:firstLine="480" w:firstLineChars="200"/>
        <w:jc w:val="both"/>
        <w:rPr>
          <w:rFonts w:ascii="Times New Roman" w:hAnsi="Times New Roman" w:eastAsia="华文宋体"/>
        </w:rPr>
      </w:pPr>
      <w:r>
        <w:rPr>
          <w:rFonts w:ascii="Times New Roman" w:hAnsi="Times New Roman" w:eastAsia="华文宋体"/>
        </w:rPr>
        <w:t>《新青年全球胜任力</w:t>
      </w:r>
      <w:r>
        <w:rPr>
          <w:rFonts w:ascii="Times New Roman" w:hAnsi="Times New Roman" w:eastAsia="华文宋体"/>
          <w:lang w:eastAsia="zh-Hans"/>
        </w:rPr>
        <w:t>人才</w:t>
      </w:r>
      <w:r>
        <w:rPr>
          <w:rFonts w:ascii="Times New Roman" w:hAnsi="Times New Roman" w:eastAsia="华文宋体"/>
        </w:rPr>
        <w:t>培养项目》由针对性的系列课程和实践活动组成，旨在培养具有家国情怀、国际视野和跨文化沟通能力的国际化复合型人才，提升学习者的国际竞争力和在国际组织、大型国企、跨国公司、涉外机构、大众传媒以及政府部门相关岗位的任职和工作能力。</w:t>
      </w:r>
    </w:p>
    <w:p>
      <w:pPr>
        <w:pStyle w:val="3"/>
        <w:adjustRightInd w:val="0"/>
        <w:snapToGrid w:val="0"/>
        <w:spacing w:before="0" w:beforeAutospacing="0" w:after="120" w:afterAutospacing="0" w:line="360" w:lineRule="atLeast"/>
        <w:ind w:firstLine="480" w:firstLineChars="200"/>
        <w:jc w:val="both"/>
        <w:rPr>
          <w:rFonts w:ascii="Times New Roman" w:hAnsi="Times New Roman" w:eastAsia="华文宋体"/>
        </w:rPr>
      </w:pPr>
      <w:r>
        <w:rPr>
          <w:rFonts w:ascii="Times New Roman" w:hAnsi="Times New Roman" w:eastAsia="华文宋体"/>
        </w:rPr>
        <w:t>项目的具体培养目标包括：</w:t>
      </w:r>
    </w:p>
    <w:p>
      <w:pPr>
        <w:pStyle w:val="3"/>
        <w:numPr>
          <w:ilvl w:val="0"/>
          <w:numId w:val="2"/>
        </w:numPr>
        <w:adjustRightInd w:val="0"/>
        <w:snapToGrid w:val="0"/>
        <w:spacing w:before="0" w:beforeAutospacing="0" w:after="120" w:afterAutospacing="0" w:line="360" w:lineRule="atLeast"/>
        <w:ind w:left="0" w:firstLine="567"/>
        <w:jc w:val="both"/>
        <w:rPr>
          <w:rFonts w:ascii="Times New Roman" w:hAnsi="Times New Roman" w:eastAsia="华文宋体"/>
        </w:rPr>
      </w:pPr>
      <w:r>
        <w:rPr>
          <w:rFonts w:ascii="Times New Roman" w:hAnsi="Times New Roman" w:eastAsia="华文宋体"/>
        </w:rPr>
        <w:t>正确深入了解中国改革与发展成就，增强“四个自信”，理解中国故事及其背后的思想力量和精神力量；深化对构建人类命运共同体和“一带一路”倡议的认识，增强人类命运共同体意识。</w:t>
      </w:r>
    </w:p>
    <w:p>
      <w:pPr>
        <w:pStyle w:val="3"/>
        <w:numPr>
          <w:ilvl w:val="0"/>
          <w:numId w:val="2"/>
        </w:numPr>
        <w:adjustRightInd w:val="0"/>
        <w:snapToGrid w:val="0"/>
        <w:spacing w:before="0" w:beforeAutospacing="0" w:after="120" w:afterAutospacing="0" w:line="360" w:lineRule="atLeast"/>
        <w:ind w:left="0" w:firstLine="567"/>
        <w:jc w:val="both"/>
        <w:rPr>
          <w:rFonts w:ascii="Times New Roman" w:hAnsi="Times New Roman" w:eastAsia="华文宋体"/>
        </w:rPr>
      </w:pPr>
      <w:r>
        <w:rPr>
          <w:rFonts w:ascii="Times New Roman" w:hAnsi="Times New Roman" w:eastAsia="华文宋体"/>
        </w:rPr>
        <w:t>了解世界人文、经济与社会发展；提升对多边主义和国际合作的认识；了解国际组织；理解全球政治和文化差异；关注并理解能源、环境、健康、安全等全球议题。</w:t>
      </w:r>
    </w:p>
    <w:p>
      <w:pPr>
        <w:pStyle w:val="3"/>
        <w:numPr>
          <w:ilvl w:val="0"/>
          <w:numId w:val="2"/>
        </w:numPr>
        <w:adjustRightInd w:val="0"/>
        <w:snapToGrid w:val="0"/>
        <w:spacing w:before="0" w:beforeAutospacing="0" w:after="120" w:afterAutospacing="0" w:line="360" w:lineRule="atLeast"/>
        <w:ind w:left="0" w:firstLine="567"/>
        <w:jc w:val="both"/>
        <w:rPr>
          <w:rFonts w:ascii="Times New Roman" w:hAnsi="Times New Roman" w:eastAsia="华文宋体"/>
        </w:rPr>
      </w:pPr>
      <w:r>
        <w:rPr>
          <w:rFonts w:ascii="Times New Roman" w:hAnsi="Times New Roman" w:eastAsia="华文宋体"/>
        </w:rPr>
        <w:t>学会如何讲好中国故事，传播好中国声音，展示真实、立体、全面的中国；提升学生与不同文化背景的人友好互动的能力；学习如何在国际交往中站稳立场且方式得当；提高在国际交往中化解冲突与矛盾的能力；提高国际学术交流能力；提升自我国际竞争能力。</w:t>
      </w:r>
    </w:p>
    <w:p>
      <w:pPr>
        <w:pStyle w:val="2"/>
        <w:numPr>
          <w:ilvl w:val="0"/>
          <w:numId w:val="1"/>
        </w:numPr>
        <w:adjustRightInd w:val="0"/>
        <w:snapToGrid w:val="0"/>
        <w:spacing w:before="240" w:after="120" w:line="360" w:lineRule="atLeast"/>
        <w:ind w:left="0"/>
        <w:rPr>
          <w:rFonts w:ascii="Times New Roman" w:hAnsi="Times New Roman" w:cs="Times New Roman"/>
          <w:b/>
          <w:bCs/>
        </w:rPr>
      </w:pPr>
      <w:r>
        <w:rPr>
          <w:rFonts w:ascii="Times New Roman" w:hAnsi="Times New Roman" w:cs="Times New Roman"/>
          <w:b/>
          <w:bCs/>
        </w:rPr>
        <w:t>培养方式</w:t>
      </w:r>
    </w:p>
    <w:p>
      <w:pPr>
        <w:pStyle w:val="3"/>
        <w:adjustRightInd w:val="0"/>
        <w:snapToGrid w:val="0"/>
        <w:spacing w:before="0" w:beforeAutospacing="0" w:after="120" w:afterAutospacing="0" w:line="360" w:lineRule="atLeast"/>
        <w:ind w:firstLine="567"/>
        <w:jc w:val="both"/>
        <w:rPr>
          <w:rFonts w:ascii="Times New Roman" w:hAnsi="Times New Roman" w:eastAsia="华文宋体"/>
        </w:rPr>
      </w:pPr>
      <w:r>
        <w:rPr>
          <w:rFonts w:ascii="Times New Roman" w:hAnsi="Times New Roman" w:eastAsia="华文宋体"/>
        </w:rPr>
        <w:t>本项目采用“课堂+实践”的培养方式，即9门选修课程、9场结合课程主题的系列讲座，以及与课程教学有机衔接的9项国内外实践活动，简称“999模式”。</w:t>
      </w:r>
    </w:p>
    <w:p>
      <w:pPr>
        <w:pStyle w:val="3"/>
        <w:adjustRightInd w:val="0"/>
        <w:snapToGrid w:val="0"/>
        <w:spacing w:before="0" w:beforeAutospacing="0" w:after="120" w:afterAutospacing="0" w:line="360" w:lineRule="atLeast"/>
        <w:ind w:firstLine="567"/>
        <w:jc w:val="both"/>
        <w:rPr>
          <w:rFonts w:ascii="Times New Roman" w:hAnsi="Times New Roman" w:eastAsia="华文宋体"/>
        </w:rPr>
      </w:pPr>
      <w:r>
        <w:rPr>
          <w:rFonts w:ascii="Times New Roman" w:hAnsi="Times New Roman" w:eastAsia="华文宋体"/>
        </w:rPr>
        <w:t>“课程”由“当代中国”、“国际理解”和“跨文化沟通”三个模块构成， 9门选修课程和9场系列讲座总量约160学时，学生可根据自身情况灵活选择；“实践”是新青年全球胜任力培养项目特设的国内外调研考察、深度参访、研修研学、实习实训等9项系列活动。</w:t>
      </w:r>
    </w:p>
    <w:p>
      <w:pPr>
        <w:pStyle w:val="3"/>
        <w:numPr>
          <w:ilvl w:val="0"/>
          <w:numId w:val="3"/>
        </w:numPr>
        <w:adjustRightInd w:val="0"/>
        <w:snapToGrid w:val="0"/>
        <w:spacing w:before="0" w:beforeAutospacing="0" w:after="120" w:afterAutospacing="0" w:line="360" w:lineRule="atLeast"/>
        <w:ind w:left="0" w:firstLine="567"/>
        <w:jc w:val="both"/>
        <w:rPr>
          <w:rFonts w:ascii="Times New Roman" w:hAnsi="Times New Roman" w:eastAsia="华文宋体"/>
        </w:rPr>
      </w:pPr>
      <w:r>
        <w:rPr>
          <w:rFonts w:ascii="Times New Roman" w:hAnsi="Times New Roman" w:eastAsia="华文宋体"/>
        </w:rPr>
        <w:t>学生可根据自身学习兴趣、学习能力和学习时间选择相关课程与活动。</w:t>
      </w:r>
    </w:p>
    <w:p>
      <w:pPr>
        <w:pStyle w:val="3"/>
        <w:widowControl w:val="0"/>
        <w:numPr>
          <w:ilvl w:val="0"/>
          <w:numId w:val="3"/>
        </w:numPr>
        <w:adjustRightInd w:val="0"/>
        <w:snapToGrid w:val="0"/>
        <w:spacing w:before="0" w:beforeAutospacing="0" w:after="120" w:afterAutospacing="0" w:line="360" w:lineRule="atLeast"/>
        <w:ind w:left="0" w:firstLine="567"/>
        <w:jc w:val="both"/>
        <w:rPr>
          <w:rFonts w:ascii="Times New Roman" w:hAnsi="Times New Roman" w:eastAsia="华文宋体"/>
        </w:rPr>
      </w:pPr>
      <w:r>
        <w:rPr>
          <w:rFonts w:ascii="Times New Roman" w:hAnsi="Times New Roman" w:eastAsia="华文宋体"/>
        </w:rPr>
        <w:t>学生至少需从每模块选修一门课程并完成其考核方可获得项目结业证书。</w:t>
      </w:r>
    </w:p>
    <w:p>
      <w:pPr>
        <w:pStyle w:val="3"/>
        <w:numPr>
          <w:ilvl w:val="0"/>
          <w:numId w:val="3"/>
        </w:numPr>
        <w:adjustRightInd w:val="0"/>
        <w:snapToGrid w:val="0"/>
        <w:spacing w:before="0" w:beforeAutospacing="0" w:after="120" w:afterAutospacing="0" w:line="360" w:lineRule="atLeast"/>
        <w:ind w:left="0" w:firstLine="567"/>
        <w:jc w:val="both"/>
        <w:rPr>
          <w:rFonts w:ascii="Times New Roman" w:hAnsi="Times New Roman" w:eastAsia="华文宋体"/>
        </w:rPr>
      </w:pPr>
      <w:r>
        <w:rPr>
          <w:rFonts w:ascii="Times New Roman" w:hAnsi="Times New Roman" w:eastAsia="华文宋体"/>
        </w:rPr>
        <w:t>每修读并通过考核的学生可获得课程对应学分。</w:t>
      </w:r>
    </w:p>
    <w:p>
      <w:pPr>
        <w:pStyle w:val="2"/>
        <w:numPr>
          <w:ilvl w:val="0"/>
          <w:numId w:val="1"/>
        </w:numPr>
        <w:adjustRightInd w:val="0"/>
        <w:snapToGrid w:val="0"/>
        <w:spacing w:before="240" w:after="120" w:line="360" w:lineRule="atLeast"/>
        <w:ind w:left="0"/>
        <w:rPr>
          <w:rFonts w:ascii="Times New Roman" w:hAnsi="Times New Roman" w:cs="Times New Roman"/>
          <w:b/>
          <w:bCs/>
        </w:rPr>
      </w:pPr>
      <w:r>
        <w:rPr>
          <w:rFonts w:ascii="Times New Roman" w:hAnsi="Times New Roman" w:cs="Times New Roman"/>
          <w:b/>
          <w:bCs/>
        </w:rPr>
        <w:t>授课方式</w:t>
      </w:r>
    </w:p>
    <w:p>
      <w:pPr>
        <w:pStyle w:val="3"/>
        <w:adjustRightInd w:val="0"/>
        <w:snapToGrid w:val="0"/>
        <w:spacing w:before="0" w:beforeAutospacing="0" w:after="120" w:afterAutospacing="0" w:line="360" w:lineRule="atLeast"/>
        <w:ind w:firstLine="480" w:firstLineChars="200"/>
        <w:jc w:val="both"/>
        <w:rPr>
          <w:rFonts w:ascii="Times New Roman" w:hAnsi="Times New Roman" w:eastAsia="华文宋体"/>
        </w:rPr>
      </w:pPr>
      <w:r>
        <w:rPr>
          <w:rFonts w:ascii="Times New Roman" w:hAnsi="Times New Roman" w:eastAsia="华文宋体"/>
        </w:rPr>
        <w:t>授课在线直播教学的方式。</w:t>
      </w:r>
    </w:p>
    <w:p>
      <w:pPr>
        <w:pStyle w:val="2"/>
        <w:numPr>
          <w:ilvl w:val="0"/>
          <w:numId w:val="1"/>
        </w:numPr>
        <w:adjustRightInd w:val="0"/>
        <w:snapToGrid w:val="0"/>
        <w:spacing w:before="240" w:after="120" w:line="360" w:lineRule="atLeast"/>
        <w:ind w:left="0"/>
        <w:rPr>
          <w:rFonts w:ascii="Times New Roman" w:hAnsi="Times New Roman" w:cs="Times New Roman"/>
          <w:b/>
          <w:bCs/>
        </w:rPr>
      </w:pPr>
      <w:r>
        <w:rPr>
          <w:rFonts w:ascii="Times New Roman" w:hAnsi="Times New Roman" w:cs="Times New Roman"/>
          <w:b/>
          <w:bCs/>
        </w:rPr>
        <w:t>课程设置</w:t>
      </w:r>
    </w:p>
    <w:tbl>
      <w:tblPr>
        <w:tblStyle w:val="4"/>
        <w:tblW w:w="8647" w:type="dxa"/>
        <w:jc w:val="center"/>
        <w:tblLayout w:type="autofit"/>
        <w:tblCellMar>
          <w:top w:w="0" w:type="dxa"/>
          <w:left w:w="108" w:type="dxa"/>
          <w:bottom w:w="0" w:type="dxa"/>
          <w:right w:w="108" w:type="dxa"/>
        </w:tblCellMar>
      </w:tblPr>
      <w:tblGrid>
        <w:gridCol w:w="1571"/>
        <w:gridCol w:w="1276"/>
        <w:gridCol w:w="3806"/>
        <w:gridCol w:w="708"/>
        <w:gridCol w:w="1286"/>
      </w:tblGrid>
      <w:tr>
        <w:tblPrEx>
          <w:tblCellMar>
            <w:top w:w="0" w:type="dxa"/>
            <w:left w:w="108" w:type="dxa"/>
            <w:bottom w:w="0" w:type="dxa"/>
            <w:right w:w="108" w:type="dxa"/>
          </w:tblCellMar>
        </w:tblPrEx>
        <w:trPr>
          <w:trHeight w:val="458" w:hRule="atLeast"/>
          <w:jc w:val="center"/>
        </w:trPr>
        <w:tc>
          <w:tcPr>
            <w:tcW w:w="1571" w:type="dxa"/>
            <w:tcBorders>
              <w:top w:val="double" w:color="auto" w:sz="4" w:space="0"/>
              <w:bottom w:val="double" w:color="auto" w:sz="4" w:space="0"/>
              <w:right w:val="single" w:color="auto" w:sz="8" w:space="0"/>
            </w:tcBorders>
            <w:shd w:val="clear" w:color="auto" w:fill="auto"/>
            <w:vAlign w:val="center"/>
          </w:tcPr>
          <w:p>
            <w:pPr>
              <w:widowControl/>
              <w:adjustRightInd w:val="0"/>
              <w:snapToGrid w:val="0"/>
              <w:spacing w:after="0" w:line="240" w:lineRule="auto"/>
              <w:jc w:val="center"/>
              <w:rPr>
                <w:rFonts w:ascii="Times New Roman" w:hAnsi="Times New Roman" w:eastAsia="华文宋体" w:cs="Times New Roman"/>
                <w:b/>
                <w:bCs/>
                <w:color w:val="000000"/>
              </w:rPr>
            </w:pPr>
            <w:r>
              <w:rPr>
                <w:rFonts w:ascii="Times New Roman" w:hAnsi="Times New Roman" w:eastAsia="华文宋体" w:cs="Times New Roman"/>
                <w:b/>
                <w:bCs/>
                <w:color w:val="000000"/>
              </w:rPr>
              <w:t>模块</w:t>
            </w:r>
          </w:p>
        </w:tc>
        <w:tc>
          <w:tcPr>
            <w:tcW w:w="1276" w:type="dxa"/>
            <w:tcBorders>
              <w:top w:val="double" w:color="auto" w:sz="4" w:space="0"/>
              <w:left w:val="single" w:color="auto" w:sz="8" w:space="0"/>
              <w:bottom w:val="double" w:color="auto" w:sz="4" w:space="0"/>
              <w:right w:val="single" w:color="auto" w:sz="8" w:space="0"/>
            </w:tcBorders>
            <w:shd w:val="clear" w:color="auto" w:fill="auto"/>
            <w:vAlign w:val="center"/>
          </w:tcPr>
          <w:p>
            <w:pPr>
              <w:widowControl/>
              <w:adjustRightInd w:val="0"/>
              <w:snapToGrid w:val="0"/>
              <w:spacing w:after="0" w:line="240" w:lineRule="auto"/>
              <w:jc w:val="center"/>
              <w:rPr>
                <w:rFonts w:ascii="Times New Roman" w:hAnsi="Times New Roman" w:eastAsia="华文宋体" w:cs="Times New Roman"/>
                <w:b/>
                <w:bCs/>
                <w:color w:val="000000"/>
              </w:rPr>
            </w:pPr>
            <w:r>
              <w:rPr>
                <w:rFonts w:ascii="Times New Roman" w:hAnsi="Times New Roman" w:eastAsia="华文宋体" w:cs="Times New Roman"/>
                <w:b/>
                <w:bCs/>
                <w:color w:val="000000"/>
              </w:rPr>
              <w:t>课程代码</w:t>
            </w:r>
          </w:p>
        </w:tc>
        <w:tc>
          <w:tcPr>
            <w:tcW w:w="3806" w:type="dxa"/>
            <w:tcBorders>
              <w:top w:val="double" w:color="auto" w:sz="4" w:space="0"/>
              <w:left w:val="single" w:color="auto" w:sz="8" w:space="0"/>
              <w:bottom w:val="double" w:color="auto" w:sz="4" w:space="0"/>
              <w:right w:val="single" w:color="auto" w:sz="8" w:space="0"/>
            </w:tcBorders>
            <w:shd w:val="clear" w:color="auto" w:fill="auto"/>
            <w:vAlign w:val="center"/>
          </w:tcPr>
          <w:p>
            <w:pPr>
              <w:widowControl/>
              <w:adjustRightInd w:val="0"/>
              <w:snapToGrid w:val="0"/>
              <w:spacing w:after="0" w:line="240" w:lineRule="auto"/>
              <w:jc w:val="center"/>
              <w:rPr>
                <w:rFonts w:ascii="Times New Roman" w:hAnsi="Times New Roman" w:eastAsia="华文宋体" w:cs="Times New Roman"/>
                <w:b/>
                <w:bCs/>
                <w:color w:val="000000"/>
              </w:rPr>
            </w:pPr>
            <w:r>
              <w:rPr>
                <w:rFonts w:ascii="Times New Roman" w:hAnsi="Times New Roman" w:eastAsia="华文宋体" w:cs="Times New Roman"/>
                <w:b/>
                <w:bCs/>
                <w:color w:val="000000"/>
              </w:rPr>
              <w:t>课程名称</w:t>
            </w:r>
          </w:p>
        </w:tc>
        <w:tc>
          <w:tcPr>
            <w:tcW w:w="708" w:type="dxa"/>
            <w:tcBorders>
              <w:top w:val="double" w:color="auto" w:sz="4" w:space="0"/>
              <w:left w:val="single" w:color="auto" w:sz="8" w:space="0"/>
              <w:bottom w:val="double" w:color="auto" w:sz="4" w:space="0"/>
              <w:right w:val="single" w:color="auto" w:sz="8" w:space="0"/>
            </w:tcBorders>
            <w:shd w:val="clear" w:color="auto" w:fill="auto"/>
            <w:vAlign w:val="center"/>
          </w:tcPr>
          <w:p>
            <w:pPr>
              <w:widowControl/>
              <w:adjustRightInd w:val="0"/>
              <w:snapToGrid w:val="0"/>
              <w:spacing w:after="0" w:line="240" w:lineRule="auto"/>
              <w:jc w:val="center"/>
              <w:rPr>
                <w:rFonts w:ascii="Times New Roman" w:hAnsi="Times New Roman" w:eastAsia="华文宋体" w:cs="Times New Roman"/>
                <w:b/>
                <w:bCs/>
                <w:color w:val="000000"/>
              </w:rPr>
            </w:pPr>
            <w:r>
              <w:rPr>
                <w:rFonts w:ascii="Times New Roman" w:hAnsi="Times New Roman" w:eastAsia="华文宋体" w:cs="Times New Roman"/>
                <w:b/>
                <w:bCs/>
                <w:color w:val="000000"/>
              </w:rPr>
              <w:t>学时</w:t>
            </w:r>
          </w:p>
        </w:tc>
        <w:tc>
          <w:tcPr>
            <w:tcW w:w="1286" w:type="dxa"/>
            <w:tcBorders>
              <w:top w:val="double" w:color="auto" w:sz="4" w:space="0"/>
              <w:left w:val="single" w:color="auto" w:sz="4" w:space="0"/>
              <w:bottom w:val="double" w:color="auto" w:sz="4" w:space="0"/>
            </w:tcBorders>
            <w:shd w:val="clear" w:color="auto" w:fill="auto"/>
            <w:vAlign w:val="center"/>
          </w:tcPr>
          <w:p>
            <w:pPr>
              <w:widowControl/>
              <w:adjustRightInd w:val="0"/>
              <w:snapToGrid w:val="0"/>
              <w:spacing w:after="0" w:line="240" w:lineRule="auto"/>
              <w:jc w:val="center"/>
              <w:rPr>
                <w:rFonts w:hint="default" w:ascii="Times New Roman" w:hAnsi="Times New Roman" w:eastAsia="华文宋体" w:cs="Times New Roman"/>
                <w:b/>
                <w:bCs/>
                <w:lang w:val="en-US" w:eastAsia="zh-CN"/>
              </w:rPr>
            </w:pPr>
            <w:r>
              <w:rPr>
                <w:rFonts w:hint="eastAsia" w:ascii="Times New Roman" w:hAnsi="Times New Roman" w:eastAsia="华文宋体" w:cs="Times New Roman"/>
                <w:b/>
                <w:bCs/>
                <w:lang w:val="en-US" w:eastAsia="zh-CN"/>
              </w:rPr>
              <w:t>授课时间</w:t>
            </w:r>
          </w:p>
        </w:tc>
      </w:tr>
      <w:tr>
        <w:tblPrEx>
          <w:tblCellMar>
            <w:top w:w="0" w:type="dxa"/>
            <w:left w:w="108" w:type="dxa"/>
            <w:bottom w:w="0" w:type="dxa"/>
            <w:right w:w="108" w:type="dxa"/>
          </w:tblCellMar>
        </w:tblPrEx>
        <w:trPr>
          <w:trHeight w:val="20" w:hRule="atLeast"/>
          <w:jc w:val="center"/>
        </w:trPr>
        <w:tc>
          <w:tcPr>
            <w:tcW w:w="1571" w:type="dxa"/>
            <w:vMerge w:val="restart"/>
            <w:tcBorders>
              <w:top w:val="double" w:color="auto" w:sz="4" w:space="0"/>
              <w:right w:val="single" w:color="auto" w:sz="8" w:space="0"/>
            </w:tcBorders>
            <w:shd w:val="clear" w:color="auto" w:fill="auto"/>
            <w:vAlign w:val="center"/>
          </w:tcPr>
          <w:p>
            <w:pPr>
              <w:widowControl/>
              <w:adjustRightInd w:val="0"/>
              <w:snapToGrid w:val="0"/>
              <w:spacing w:after="0" w:line="240" w:lineRule="auto"/>
              <w:jc w:val="center"/>
              <w:rPr>
                <w:rFonts w:ascii="Times New Roman" w:hAnsi="Times New Roman" w:eastAsia="华文宋体" w:cs="Times New Roman"/>
                <w:color w:val="000000"/>
              </w:rPr>
            </w:pPr>
            <w:r>
              <w:rPr>
                <w:rFonts w:ascii="Times New Roman" w:hAnsi="Times New Roman" w:eastAsia="华文宋体" w:cs="Times New Roman"/>
                <w:color w:val="000000"/>
              </w:rPr>
              <w:t>（一）</w:t>
            </w:r>
          </w:p>
          <w:p>
            <w:pPr>
              <w:widowControl/>
              <w:adjustRightInd w:val="0"/>
              <w:snapToGrid w:val="0"/>
              <w:spacing w:after="0" w:line="240" w:lineRule="auto"/>
              <w:jc w:val="center"/>
              <w:rPr>
                <w:rFonts w:ascii="Times New Roman" w:hAnsi="Times New Roman" w:eastAsia="华文宋体" w:cs="Times New Roman"/>
                <w:color w:val="000000"/>
              </w:rPr>
            </w:pPr>
            <w:r>
              <w:rPr>
                <w:rFonts w:ascii="Times New Roman" w:hAnsi="Times New Roman" w:eastAsia="华文宋体" w:cs="Times New Roman"/>
                <w:color w:val="000000"/>
              </w:rPr>
              <w:t>当代中国</w:t>
            </w:r>
          </w:p>
        </w:tc>
        <w:tc>
          <w:tcPr>
            <w:tcW w:w="1276" w:type="dxa"/>
            <w:tcBorders>
              <w:top w:val="double" w:color="auto" w:sz="4" w:space="0"/>
              <w:left w:val="nil"/>
              <w:bottom w:val="single" w:color="auto" w:sz="8" w:space="0"/>
              <w:right w:val="single" w:color="auto" w:sz="8" w:space="0"/>
            </w:tcBorders>
            <w:shd w:val="clear" w:color="auto" w:fill="auto"/>
            <w:vAlign w:val="center"/>
          </w:tcPr>
          <w:p>
            <w:pPr>
              <w:widowControl/>
              <w:adjustRightInd w:val="0"/>
              <w:snapToGrid w:val="0"/>
              <w:spacing w:after="0" w:line="240" w:lineRule="auto"/>
              <w:jc w:val="center"/>
              <w:rPr>
                <w:rFonts w:ascii="Times New Roman" w:hAnsi="Times New Roman" w:eastAsia="华文宋体" w:cs="Times New Roman"/>
                <w:color w:val="000000"/>
              </w:rPr>
            </w:pPr>
            <w:r>
              <w:rPr>
                <w:rFonts w:ascii="Times New Roman" w:hAnsi="Times New Roman" w:eastAsia="华文宋体" w:cs="Times New Roman"/>
                <w:color w:val="000000"/>
              </w:rPr>
              <w:t>GCC-101</w:t>
            </w:r>
          </w:p>
        </w:tc>
        <w:tc>
          <w:tcPr>
            <w:tcW w:w="3806" w:type="dxa"/>
            <w:tcBorders>
              <w:top w:val="double" w:color="auto" w:sz="4" w:space="0"/>
              <w:left w:val="nil"/>
              <w:bottom w:val="single" w:color="auto" w:sz="8" w:space="0"/>
              <w:right w:val="single" w:color="auto" w:sz="8" w:space="0"/>
            </w:tcBorders>
            <w:shd w:val="clear" w:color="auto" w:fill="auto"/>
            <w:vAlign w:val="center"/>
          </w:tcPr>
          <w:p>
            <w:pPr>
              <w:widowControl/>
              <w:adjustRightInd w:val="0"/>
              <w:snapToGrid w:val="0"/>
              <w:spacing w:after="0" w:line="240" w:lineRule="auto"/>
              <w:jc w:val="center"/>
              <w:rPr>
                <w:rFonts w:ascii="Times New Roman" w:hAnsi="Times New Roman" w:eastAsia="华文宋体" w:cs="Times New Roman"/>
                <w:color w:val="000000"/>
              </w:rPr>
            </w:pPr>
            <w:r>
              <w:rPr>
                <w:rFonts w:ascii="Times New Roman" w:hAnsi="Times New Roman" w:eastAsia="华文宋体" w:cs="Times New Roman"/>
                <w:color w:val="000000"/>
              </w:rPr>
              <w:t>中国特色大国外交专题研究</w:t>
            </w:r>
          </w:p>
        </w:tc>
        <w:tc>
          <w:tcPr>
            <w:tcW w:w="708" w:type="dxa"/>
            <w:tcBorders>
              <w:top w:val="double" w:color="auto" w:sz="4" w:space="0"/>
              <w:left w:val="nil"/>
              <w:bottom w:val="single" w:color="auto" w:sz="8" w:space="0"/>
              <w:right w:val="single" w:color="auto" w:sz="8" w:space="0"/>
            </w:tcBorders>
            <w:shd w:val="clear" w:color="auto" w:fill="auto"/>
            <w:vAlign w:val="center"/>
          </w:tcPr>
          <w:p>
            <w:pPr>
              <w:widowControl/>
              <w:adjustRightInd w:val="0"/>
              <w:snapToGrid w:val="0"/>
              <w:spacing w:after="0" w:line="240" w:lineRule="auto"/>
              <w:jc w:val="center"/>
              <w:rPr>
                <w:rFonts w:ascii="Times New Roman" w:hAnsi="Times New Roman" w:eastAsia="华文宋体" w:cs="Times New Roman"/>
                <w:color w:val="000000"/>
              </w:rPr>
            </w:pPr>
            <w:r>
              <w:rPr>
                <w:rFonts w:ascii="Times New Roman" w:hAnsi="Times New Roman" w:eastAsia="华文宋体" w:cs="Times New Roman"/>
                <w:color w:val="000000"/>
              </w:rPr>
              <w:t>16</w:t>
            </w:r>
          </w:p>
        </w:tc>
        <w:tc>
          <w:tcPr>
            <w:tcW w:w="1286" w:type="dxa"/>
            <w:tcBorders>
              <w:top w:val="double" w:color="auto" w:sz="4" w:space="0"/>
              <w:left w:val="nil"/>
              <w:bottom w:val="single" w:color="auto" w:sz="8" w:space="0"/>
            </w:tcBorders>
            <w:shd w:val="clear" w:color="auto" w:fill="auto"/>
            <w:vAlign w:val="center"/>
          </w:tcPr>
          <w:p>
            <w:pPr>
              <w:widowControl/>
              <w:adjustRightInd w:val="0"/>
              <w:snapToGrid w:val="0"/>
              <w:spacing w:after="0" w:line="240" w:lineRule="auto"/>
              <w:jc w:val="center"/>
              <w:rPr>
                <w:rFonts w:hint="eastAsia" w:ascii="Times New Roman" w:hAnsi="Times New Roman" w:eastAsia="华文宋体" w:cs="Times New Roman"/>
                <w:lang w:val="en-US" w:eastAsia="zh-CN"/>
              </w:rPr>
            </w:pPr>
            <w:r>
              <w:rPr>
                <w:rFonts w:hint="eastAsia" w:ascii="Times New Roman" w:hAnsi="Times New Roman" w:eastAsia="华文宋体" w:cs="Times New Roman"/>
                <w:b/>
                <w:bCs/>
                <w:lang w:val="en-US" w:eastAsia="zh-CN"/>
              </w:rPr>
              <w:t>春季</w:t>
            </w:r>
          </w:p>
        </w:tc>
      </w:tr>
      <w:tr>
        <w:tblPrEx>
          <w:tblCellMar>
            <w:top w:w="0" w:type="dxa"/>
            <w:left w:w="108" w:type="dxa"/>
            <w:bottom w:w="0" w:type="dxa"/>
            <w:right w:w="108" w:type="dxa"/>
          </w:tblCellMar>
        </w:tblPrEx>
        <w:trPr>
          <w:trHeight w:val="20" w:hRule="atLeast"/>
          <w:jc w:val="center"/>
        </w:trPr>
        <w:tc>
          <w:tcPr>
            <w:tcW w:w="1571" w:type="dxa"/>
            <w:vMerge w:val="continue"/>
            <w:tcBorders>
              <w:right w:val="single" w:color="auto" w:sz="8" w:space="0"/>
            </w:tcBorders>
            <w:shd w:val="clear" w:color="auto" w:fill="auto"/>
            <w:vAlign w:val="center"/>
          </w:tcPr>
          <w:p>
            <w:pPr>
              <w:widowControl/>
              <w:adjustRightInd w:val="0"/>
              <w:snapToGrid w:val="0"/>
              <w:spacing w:after="0" w:line="240" w:lineRule="auto"/>
              <w:jc w:val="center"/>
              <w:rPr>
                <w:rFonts w:ascii="Times New Roman" w:hAnsi="Times New Roman" w:eastAsia="华文宋体" w:cs="Times New Roman"/>
                <w:color w:val="000000"/>
              </w:rPr>
            </w:pPr>
          </w:p>
        </w:tc>
        <w:tc>
          <w:tcPr>
            <w:tcW w:w="1276" w:type="dxa"/>
            <w:tcBorders>
              <w:top w:val="nil"/>
              <w:left w:val="nil"/>
              <w:bottom w:val="single" w:color="auto" w:sz="8" w:space="0"/>
              <w:right w:val="single" w:color="auto" w:sz="8" w:space="0"/>
            </w:tcBorders>
            <w:shd w:val="clear" w:color="auto" w:fill="auto"/>
            <w:vAlign w:val="center"/>
          </w:tcPr>
          <w:p>
            <w:pPr>
              <w:widowControl/>
              <w:adjustRightInd w:val="0"/>
              <w:snapToGrid w:val="0"/>
              <w:spacing w:after="0" w:line="240" w:lineRule="auto"/>
              <w:jc w:val="center"/>
              <w:rPr>
                <w:rFonts w:ascii="Times New Roman" w:hAnsi="Times New Roman" w:eastAsia="华文宋体" w:cs="Times New Roman"/>
                <w:color w:val="000000"/>
              </w:rPr>
            </w:pPr>
            <w:r>
              <w:rPr>
                <w:rFonts w:ascii="Times New Roman" w:hAnsi="Times New Roman" w:eastAsia="华文宋体" w:cs="Times New Roman"/>
                <w:color w:val="000000"/>
              </w:rPr>
              <w:t>GCC-102</w:t>
            </w:r>
          </w:p>
        </w:tc>
        <w:tc>
          <w:tcPr>
            <w:tcW w:w="3806" w:type="dxa"/>
            <w:tcBorders>
              <w:top w:val="nil"/>
              <w:left w:val="nil"/>
              <w:bottom w:val="single" w:color="auto" w:sz="8" w:space="0"/>
              <w:right w:val="single" w:color="auto" w:sz="8" w:space="0"/>
            </w:tcBorders>
            <w:shd w:val="clear" w:color="auto" w:fill="auto"/>
            <w:vAlign w:val="center"/>
          </w:tcPr>
          <w:p>
            <w:pPr>
              <w:widowControl/>
              <w:adjustRightInd w:val="0"/>
              <w:snapToGrid w:val="0"/>
              <w:spacing w:after="0" w:line="240" w:lineRule="auto"/>
              <w:jc w:val="center"/>
              <w:rPr>
                <w:rFonts w:ascii="Times New Roman" w:hAnsi="Times New Roman" w:eastAsia="华文宋体" w:cs="Times New Roman"/>
                <w:color w:val="000000"/>
              </w:rPr>
            </w:pPr>
            <w:r>
              <w:rPr>
                <w:rFonts w:ascii="Times New Roman" w:hAnsi="Times New Roman" w:eastAsia="华文宋体" w:cs="Times New Roman"/>
                <w:color w:val="000000"/>
              </w:rPr>
              <w:t>全球治理的中国方案</w:t>
            </w:r>
          </w:p>
        </w:tc>
        <w:tc>
          <w:tcPr>
            <w:tcW w:w="708" w:type="dxa"/>
            <w:tcBorders>
              <w:top w:val="nil"/>
              <w:left w:val="nil"/>
              <w:bottom w:val="single" w:color="auto" w:sz="8" w:space="0"/>
              <w:right w:val="single" w:color="auto" w:sz="8" w:space="0"/>
            </w:tcBorders>
            <w:shd w:val="clear" w:color="auto" w:fill="auto"/>
            <w:vAlign w:val="center"/>
          </w:tcPr>
          <w:p>
            <w:pPr>
              <w:widowControl/>
              <w:adjustRightInd w:val="0"/>
              <w:snapToGrid w:val="0"/>
              <w:spacing w:after="0" w:line="240" w:lineRule="auto"/>
              <w:jc w:val="center"/>
              <w:rPr>
                <w:rFonts w:ascii="Times New Roman" w:hAnsi="Times New Roman" w:eastAsia="华文宋体" w:cs="Times New Roman"/>
                <w:color w:val="000000"/>
              </w:rPr>
            </w:pPr>
            <w:r>
              <w:rPr>
                <w:rFonts w:ascii="Times New Roman" w:hAnsi="Times New Roman" w:eastAsia="华文宋体" w:cs="Times New Roman"/>
                <w:color w:val="000000"/>
              </w:rPr>
              <w:t>16</w:t>
            </w:r>
          </w:p>
        </w:tc>
        <w:tc>
          <w:tcPr>
            <w:tcW w:w="1286" w:type="dxa"/>
            <w:tcBorders>
              <w:top w:val="nil"/>
              <w:left w:val="nil"/>
              <w:bottom w:val="single" w:color="auto" w:sz="8" w:space="0"/>
            </w:tcBorders>
            <w:shd w:val="clear" w:color="auto" w:fill="auto"/>
            <w:vAlign w:val="center"/>
          </w:tcPr>
          <w:p>
            <w:pPr>
              <w:widowControl/>
              <w:adjustRightInd w:val="0"/>
              <w:snapToGrid w:val="0"/>
              <w:spacing w:after="0" w:line="240" w:lineRule="auto"/>
              <w:jc w:val="center"/>
              <w:rPr>
                <w:rFonts w:hint="eastAsia" w:ascii="Times New Roman" w:hAnsi="Times New Roman" w:eastAsia="华文宋体" w:cs="Times New Roman"/>
                <w:lang w:val="en-US" w:eastAsia="zh-CN"/>
              </w:rPr>
            </w:pPr>
            <w:r>
              <w:rPr>
                <w:rFonts w:hint="eastAsia" w:ascii="Times New Roman" w:hAnsi="Times New Roman" w:eastAsia="华文宋体" w:cs="Times New Roman"/>
                <w:lang w:val="en-US" w:eastAsia="zh-CN"/>
              </w:rPr>
              <w:t>秋季</w:t>
            </w:r>
          </w:p>
        </w:tc>
      </w:tr>
      <w:tr>
        <w:tblPrEx>
          <w:tblCellMar>
            <w:top w:w="0" w:type="dxa"/>
            <w:left w:w="108" w:type="dxa"/>
            <w:bottom w:w="0" w:type="dxa"/>
            <w:right w:w="108" w:type="dxa"/>
          </w:tblCellMar>
        </w:tblPrEx>
        <w:trPr>
          <w:trHeight w:val="20" w:hRule="atLeast"/>
          <w:jc w:val="center"/>
        </w:trPr>
        <w:tc>
          <w:tcPr>
            <w:tcW w:w="1571" w:type="dxa"/>
            <w:vMerge w:val="continue"/>
            <w:tcBorders>
              <w:bottom w:val="double" w:color="auto" w:sz="4" w:space="0"/>
              <w:right w:val="single" w:color="auto" w:sz="8" w:space="0"/>
            </w:tcBorders>
            <w:shd w:val="clear" w:color="auto" w:fill="auto"/>
            <w:vAlign w:val="center"/>
          </w:tcPr>
          <w:p>
            <w:pPr>
              <w:widowControl/>
              <w:adjustRightInd w:val="0"/>
              <w:snapToGrid w:val="0"/>
              <w:spacing w:after="0" w:line="240" w:lineRule="auto"/>
              <w:jc w:val="center"/>
              <w:rPr>
                <w:rFonts w:ascii="Times New Roman" w:hAnsi="Times New Roman" w:eastAsia="华文宋体" w:cs="Times New Roman"/>
                <w:color w:val="000000"/>
              </w:rPr>
            </w:pPr>
          </w:p>
        </w:tc>
        <w:tc>
          <w:tcPr>
            <w:tcW w:w="1276" w:type="dxa"/>
            <w:tcBorders>
              <w:top w:val="nil"/>
              <w:left w:val="nil"/>
              <w:bottom w:val="double" w:color="auto" w:sz="4" w:space="0"/>
              <w:right w:val="single" w:color="auto" w:sz="8" w:space="0"/>
            </w:tcBorders>
            <w:shd w:val="clear" w:color="auto" w:fill="auto"/>
            <w:vAlign w:val="center"/>
          </w:tcPr>
          <w:p>
            <w:pPr>
              <w:widowControl/>
              <w:adjustRightInd w:val="0"/>
              <w:snapToGrid w:val="0"/>
              <w:spacing w:after="0" w:line="240" w:lineRule="auto"/>
              <w:jc w:val="center"/>
              <w:rPr>
                <w:rFonts w:ascii="Times New Roman" w:hAnsi="Times New Roman" w:eastAsia="华文宋体" w:cs="Times New Roman"/>
                <w:color w:val="000000"/>
              </w:rPr>
            </w:pPr>
            <w:r>
              <w:rPr>
                <w:rFonts w:ascii="Times New Roman" w:hAnsi="Times New Roman" w:eastAsia="华文宋体" w:cs="Times New Roman"/>
                <w:color w:val="000000"/>
              </w:rPr>
              <w:t>GCC-103</w:t>
            </w:r>
          </w:p>
        </w:tc>
        <w:tc>
          <w:tcPr>
            <w:tcW w:w="3806" w:type="dxa"/>
            <w:tcBorders>
              <w:top w:val="nil"/>
              <w:left w:val="nil"/>
              <w:bottom w:val="double" w:color="auto" w:sz="4" w:space="0"/>
              <w:right w:val="single" w:color="auto" w:sz="8" w:space="0"/>
            </w:tcBorders>
            <w:shd w:val="clear" w:color="auto" w:fill="auto"/>
            <w:vAlign w:val="center"/>
          </w:tcPr>
          <w:p>
            <w:pPr>
              <w:widowControl/>
              <w:adjustRightInd w:val="0"/>
              <w:snapToGrid w:val="0"/>
              <w:spacing w:after="0" w:line="240" w:lineRule="auto"/>
              <w:jc w:val="center"/>
              <w:rPr>
                <w:rFonts w:ascii="Times New Roman" w:hAnsi="Times New Roman" w:eastAsia="华文宋体" w:cs="Times New Roman"/>
                <w:color w:val="000000"/>
              </w:rPr>
            </w:pPr>
            <w:r>
              <w:rPr>
                <w:rFonts w:ascii="Times New Roman" w:hAnsi="Times New Roman" w:eastAsia="华文宋体" w:cs="Times New Roman"/>
                <w:color w:val="000000"/>
              </w:rPr>
              <w:t>一带一路与中华文化国际传播</w:t>
            </w:r>
          </w:p>
        </w:tc>
        <w:tc>
          <w:tcPr>
            <w:tcW w:w="708" w:type="dxa"/>
            <w:tcBorders>
              <w:top w:val="nil"/>
              <w:left w:val="nil"/>
              <w:bottom w:val="double" w:color="auto" w:sz="4" w:space="0"/>
              <w:right w:val="single" w:color="auto" w:sz="8" w:space="0"/>
            </w:tcBorders>
            <w:shd w:val="clear" w:color="auto" w:fill="auto"/>
            <w:vAlign w:val="center"/>
          </w:tcPr>
          <w:p>
            <w:pPr>
              <w:widowControl/>
              <w:adjustRightInd w:val="0"/>
              <w:snapToGrid w:val="0"/>
              <w:spacing w:after="0" w:line="240" w:lineRule="auto"/>
              <w:jc w:val="center"/>
              <w:rPr>
                <w:rFonts w:ascii="Times New Roman" w:hAnsi="Times New Roman" w:eastAsia="华文宋体" w:cs="Times New Roman"/>
                <w:color w:val="000000"/>
              </w:rPr>
            </w:pPr>
            <w:r>
              <w:rPr>
                <w:rFonts w:ascii="Times New Roman" w:hAnsi="Times New Roman" w:eastAsia="华文宋体" w:cs="Times New Roman"/>
                <w:color w:val="000000"/>
              </w:rPr>
              <w:t>16</w:t>
            </w:r>
          </w:p>
        </w:tc>
        <w:tc>
          <w:tcPr>
            <w:tcW w:w="1286" w:type="dxa"/>
            <w:tcBorders>
              <w:top w:val="nil"/>
              <w:left w:val="nil"/>
              <w:bottom w:val="double" w:color="auto" w:sz="4" w:space="0"/>
            </w:tcBorders>
            <w:shd w:val="clear" w:color="auto" w:fill="auto"/>
            <w:vAlign w:val="center"/>
          </w:tcPr>
          <w:p>
            <w:pPr>
              <w:widowControl/>
              <w:adjustRightInd w:val="0"/>
              <w:snapToGrid w:val="0"/>
              <w:spacing w:after="0" w:line="240" w:lineRule="auto"/>
              <w:jc w:val="center"/>
              <w:rPr>
                <w:rFonts w:hint="eastAsia" w:ascii="Times New Roman" w:hAnsi="Times New Roman" w:eastAsia="华文宋体" w:cs="Times New Roman"/>
                <w:lang w:val="en-US" w:eastAsia="zh-CN"/>
              </w:rPr>
            </w:pPr>
            <w:r>
              <w:rPr>
                <w:rFonts w:hint="eastAsia" w:ascii="Times New Roman" w:hAnsi="Times New Roman" w:eastAsia="华文宋体" w:cs="Times New Roman"/>
                <w:lang w:val="en-US" w:eastAsia="zh-CN"/>
              </w:rPr>
              <w:t>秋季</w:t>
            </w:r>
          </w:p>
        </w:tc>
      </w:tr>
      <w:tr>
        <w:tblPrEx>
          <w:tblCellMar>
            <w:top w:w="0" w:type="dxa"/>
            <w:left w:w="108" w:type="dxa"/>
            <w:bottom w:w="0" w:type="dxa"/>
            <w:right w:w="108" w:type="dxa"/>
          </w:tblCellMar>
        </w:tblPrEx>
        <w:trPr>
          <w:trHeight w:val="20" w:hRule="atLeast"/>
          <w:jc w:val="center"/>
        </w:trPr>
        <w:tc>
          <w:tcPr>
            <w:tcW w:w="1571" w:type="dxa"/>
            <w:vMerge w:val="restart"/>
            <w:tcBorders>
              <w:top w:val="double" w:color="auto" w:sz="4" w:space="0"/>
              <w:right w:val="single" w:color="auto" w:sz="8" w:space="0"/>
            </w:tcBorders>
            <w:shd w:val="clear" w:color="auto" w:fill="auto"/>
            <w:vAlign w:val="center"/>
          </w:tcPr>
          <w:p>
            <w:pPr>
              <w:widowControl/>
              <w:adjustRightInd w:val="0"/>
              <w:snapToGrid w:val="0"/>
              <w:spacing w:after="0" w:line="240" w:lineRule="auto"/>
              <w:jc w:val="center"/>
              <w:rPr>
                <w:rFonts w:ascii="Times New Roman" w:hAnsi="Times New Roman" w:eastAsia="华文宋体" w:cs="Times New Roman"/>
              </w:rPr>
            </w:pPr>
            <w:r>
              <w:rPr>
                <w:rFonts w:ascii="Times New Roman" w:hAnsi="Times New Roman" w:eastAsia="华文宋体" w:cs="Times New Roman"/>
              </w:rPr>
              <w:t>（二）</w:t>
            </w:r>
          </w:p>
          <w:p>
            <w:pPr>
              <w:widowControl/>
              <w:adjustRightInd w:val="0"/>
              <w:snapToGrid w:val="0"/>
              <w:spacing w:after="0" w:line="240" w:lineRule="auto"/>
              <w:jc w:val="center"/>
              <w:rPr>
                <w:rFonts w:ascii="Times New Roman" w:hAnsi="Times New Roman" w:eastAsia="华文宋体" w:cs="Times New Roman"/>
              </w:rPr>
            </w:pPr>
            <w:r>
              <w:rPr>
                <w:rFonts w:ascii="Times New Roman" w:hAnsi="Times New Roman" w:eastAsia="华文宋体" w:cs="Times New Roman"/>
              </w:rPr>
              <w:t>国际理解</w:t>
            </w:r>
          </w:p>
        </w:tc>
        <w:tc>
          <w:tcPr>
            <w:tcW w:w="1276" w:type="dxa"/>
            <w:tcBorders>
              <w:top w:val="double" w:color="auto" w:sz="4" w:space="0"/>
              <w:left w:val="nil"/>
              <w:bottom w:val="single" w:color="auto" w:sz="8" w:space="0"/>
              <w:right w:val="single" w:color="auto" w:sz="8" w:space="0"/>
            </w:tcBorders>
            <w:shd w:val="clear" w:color="auto" w:fill="auto"/>
            <w:vAlign w:val="center"/>
          </w:tcPr>
          <w:p>
            <w:pPr>
              <w:widowControl/>
              <w:adjustRightInd w:val="0"/>
              <w:snapToGrid w:val="0"/>
              <w:spacing w:after="0" w:line="240" w:lineRule="auto"/>
              <w:jc w:val="center"/>
              <w:rPr>
                <w:rFonts w:ascii="Times New Roman" w:hAnsi="Times New Roman" w:eastAsia="华文宋体" w:cs="Times New Roman"/>
              </w:rPr>
            </w:pPr>
            <w:r>
              <w:rPr>
                <w:rFonts w:ascii="Times New Roman" w:hAnsi="Times New Roman" w:eastAsia="华文宋体" w:cs="Times New Roman"/>
              </w:rPr>
              <w:t>GCC-201</w:t>
            </w:r>
          </w:p>
        </w:tc>
        <w:tc>
          <w:tcPr>
            <w:tcW w:w="3806" w:type="dxa"/>
            <w:tcBorders>
              <w:top w:val="double" w:color="auto" w:sz="4" w:space="0"/>
              <w:left w:val="nil"/>
              <w:bottom w:val="single" w:color="auto" w:sz="8" w:space="0"/>
              <w:right w:val="single" w:color="auto" w:sz="8" w:space="0"/>
            </w:tcBorders>
            <w:shd w:val="clear" w:color="auto" w:fill="auto"/>
            <w:vAlign w:val="center"/>
          </w:tcPr>
          <w:p>
            <w:pPr>
              <w:widowControl/>
              <w:adjustRightInd w:val="0"/>
              <w:snapToGrid w:val="0"/>
              <w:spacing w:after="0" w:line="240" w:lineRule="auto"/>
              <w:jc w:val="center"/>
              <w:rPr>
                <w:rFonts w:ascii="Times New Roman" w:hAnsi="Times New Roman" w:eastAsia="华文宋体" w:cs="Times New Roman"/>
              </w:rPr>
            </w:pPr>
            <w:r>
              <w:rPr>
                <w:rFonts w:ascii="Times New Roman" w:hAnsi="Times New Roman" w:eastAsia="华文宋体" w:cs="Times New Roman"/>
              </w:rPr>
              <w:t>国际组织与全球治理</w:t>
            </w:r>
          </w:p>
        </w:tc>
        <w:tc>
          <w:tcPr>
            <w:tcW w:w="708" w:type="dxa"/>
            <w:tcBorders>
              <w:top w:val="double" w:color="auto" w:sz="4" w:space="0"/>
              <w:left w:val="nil"/>
              <w:bottom w:val="single" w:color="auto" w:sz="8" w:space="0"/>
              <w:right w:val="single" w:color="auto" w:sz="8" w:space="0"/>
            </w:tcBorders>
            <w:shd w:val="clear" w:color="auto" w:fill="auto"/>
            <w:vAlign w:val="center"/>
          </w:tcPr>
          <w:p>
            <w:pPr>
              <w:widowControl/>
              <w:adjustRightInd w:val="0"/>
              <w:snapToGrid w:val="0"/>
              <w:spacing w:after="0" w:line="240" w:lineRule="auto"/>
              <w:jc w:val="center"/>
              <w:rPr>
                <w:rFonts w:ascii="Times New Roman" w:hAnsi="Times New Roman" w:eastAsia="华文宋体" w:cs="Times New Roman"/>
              </w:rPr>
            </w:pPr>
            <w:r>
              <w:rPr>
                <w:rFonts w:ascii="Times New Roman" w:hAnsi="Times New Roman" w:eastAsia="华文宋体" w:cs="Times New Roman"/>
              </w:rPr>
              <w:t>16</w:t>
            </w:r>
          </w:p>
        </w:tc>
        <w:tc>
          <w:tcPr>
            <w:tcW w:w="1286" w:type="dxa"/>
            <w:tcBorders>
              <w:top w:val="double" w:color="auto" w:sz="4" w:space="0"/>
              <w:left w:val="nil"/>
              <w:bottom w:val="single" w:color="auto" w:sz="8" w:space="0"/>
            </w:tcBorders>
            <w:shd w:val="clear" w:color="auto" w:fill="auto"/>
            <w:vAlign w:val="center"/>
          </w:tcPr>
          <w:p>
            <w:pPr>
              <w:widowControl/>
              <w:adjustRightInd w:val="0"/>
              <w:snapToGrid w:val="0"/>
              <w:spacing w:after="0" w:line="240" w:lineRule="auto"/>
              <w:jc w:val="center"/>
              <w:rPr>
                <w:rFonts w:hint="eastAsia" w:ascii="Times New Roman" w:hAnsi="Times New Roman" w:eastAsia="华文宋体" w:cs="Times New Roman"/>
                <w:lang w:val="en-US" w:eastAsia="zh-CN"/>
              </w:rPr>
            </w:pPr>
            <w:r>
              <w:rPr>
                <w:rFonts w:hint="eastAsia" w:ascii="Times New Roman" w:hAnsi="Times New Roman" w:eastAsia="华文宋体" w:cs="Times New Roman"/>
                <w:b/>
                <w:bCs/>
                <w:lang w:val="en-US" w:eastAsia="zh-CN"/>
              </w:rPr>
              <w:t>春季</w:t>
            </w:r>
          </w:p>
        </w:tc>
      </w:tr>
      <w:tr>
        <w:tblPrEx>
          <w:tblCellMar>
            <w:top w:w="0" w:type="dxa"/>
            <w:left w:w="108" w:type="dxa"/>
            <w:bottom w:w="0" w:type="dxa"/>
            <w:right w:w="108" w:type="dxa"/>
          </w:tblCellMar>
        </w:tblPrEx>
        <w:trPr>
          <w:trHeight w:val="20" w:hRule="atLeast"/>
          <w:jc w:val="center"/>
        </w:trPr>
        <w:tc>
          <w:tcPr>
            <w:tcW w:w="1571" w:type="dxa"/>
            <w:vMerge w:val="continue"/>
            <w:tcBorders>
              <w:right w:val="single" w:color="auto" w:sz="8" w:space="0"/>
            </w:tcBorders>
            <w:shd w:val="clear" w:color="auto" w:fill="auto"/>
            <w:vAlign w:val="center"/>
          </w:tcPr>
          <w:p>
            <w:pPr>
              <w:widowControl/>
              <w:adjustRightInd w:val="0"/>
              <w:snapToGrid w:val="0"/>
              <w:spacing w:after="0" w:line="240" w:lineRule="auto"/>
              <w:jc w:val="center"/>
              <w:rPr>
                <w:rFonts w:ascii="Times New Roman" w:hAnsi="Times New Roman" w:eastAsia="华文宋体" w:cs="Times New Roman"/>
              </w:rPr>
            </w:pPr>
          </w:p>
        </w:tc>
        <w:tc>
          <w:tcPr>
            <w:tcW w:w="1276" w:type="dxa"/>
            <w:tcBorders>
              <w:top w:val="nil"/>
              <w:left w:val="nil"/>
              <w:bottom w:val="single" w:color="auto" w:sz="8" w:space="0"/>
              <w:right w:val="single" w:color="auto" w:sz="8" w:space="0"/>
            </w:tcBorders>
            <w:shd w:val="clear" w:color="auto" w:fill="auto"/>
            <w:vAlign w:val="center"/>
          </w:tcPr>
          <w:p>
            <w:pPr>
              <w:widowControl/>
              <w:adjustRightInd w:val="0"/>
              <w:snapToGrid w:val="0"/>
              <w:spacing w:after="0" w:line="240" w:lineRule="auto"/>
              <w:jc w:val="center"/>
              <w:rPr>
                <w:rFonts w:ascii="Times New Roman" w:hAnsi="Times New Roman" w:eastAsia="华文宋体" w:cs="Times New Roman"/>
              </w:rPr>
            </w:pPr>
            <w:r>
              <w:rPr>
                <w:rFonts w:ascii="Times New Roman" w:hAnsi="Times New Roman" w:eastAsia="华文宋体" w:cs="Times New Roman"/>
              </w:rPr>
              <w:t>GCC-202</w:t>
            </w:r>
          </w:p>
        </w:tc>
        <w:tc>
          <w:tcPr>
            <w:tcW w:w="3806" w:type="dxa"/>
            <w:tcBorders>
              <w:top w:val="nil"/>
              <w:left w:val="nil"/>
              <w:bottom w:val="single" w:color="auto" w:sz="8" w:space="0"/>
              <w:right w:val="single" w:color="auto" w:sz="8" w:space="0"/>
            </w:tcBorders>
            <w:shd w:val="clear" w:color="auto" w:fill="auto"/>
            <w:vAlign w:val="center"/>
          </w:tcPr>
          <w:p>
            <w:pPr>
              <w:widowControl/>
              <w:adjustRightInd w:val="0"/>
              <w:snapToGrid w:val="0"/>
              <w:spacing w:after="0" w:line="240" w:lineRule="auto"/>
              <w:jc w:val="center"/>
              <w:rPr>
                <w:rFonts w:ascii="Times New Roman" w:hAnsi="Times New Roman" w:eastAsia="华文宋体" w:cs="Times New Roman"/>
              </w:rPr>
            </w:pPr>
            <w:r>
              <w:rPr>
                <w:rFonts w:ascii="Times New Roman" w:hAnsi="Times New Roman" w:eastAsia="华文宋体" w:cs="Times New Roman"/>
              </w:rPr>
              <w:t>未来科技发展与创新创业</w:t>
            </w:r>
          </w:p>
        </w:tc>
        <w:tc>
          <w:tcPr>
            <w:tcW w:w="708" w:type="dxa"/>
            <w:tcBorders>
              <w:top w:val="nil"/>
              <w:left w:val="nil"/>
              <w:bottom w:val="single" w:color="auto" w:sz="8" w:space="0"/>
              <w:right w:val="single" w:color="auto" w:sz="8" w:space="0"/>
            </w:tcBorders>
            <w:shd w:val="clear" w:color="auto" w:fill="auto"/>
            <w:vAlign w:val="center"/>
          </w:tcPr>
          <w:p>
            <w:pPr>
              <w:widowControl/>
              <w:adjustRightInd w:val="0"/>
              <w:snapToGrid w:val="0"/>
              <w:spacing w:after="0" w:line="240" w:lineRule="auto"/>
              <w:jc w:val="center"/>
              <w:rPr>
                <w:rFonts w:ascii="Times New Roman" w:hAnsi="Times New Roman" w:eastAsia="华文宋体" w:cs="Times New Roman"/>
              </w:rPr>
            </w:pPr>
            <w:r>
              <w:rPr>
                <w:rFonts w:ascii="Times New Roman" w:hAnsi="Times New Roman" w:eastAsia="华文宋体" w:cs="Times New Roman"/>
              </w:rPr>
              <w:t>16</w:t>
            </w:r>
          </w:p>
        </w:tc>
        <w:tc>
          <w:tcPr>
            <w:tcW w:w="1286" w:type="dxa"/>
            <w:tcBorders>
              <w:top w:val="nil"/>
              <w:left w:val="nil"/>
              <w:bottom w:val="single" w:color="auto" w:sz="8" w:space="0"/>
            </w:tcBorders>
            <w:shd w:val="clear" w:color="auto" w:fill="auto"/>
            <w:vAlign w:val="center"/>
          </w:tcPr>
          <w:p>
            <w:pPr>
              <w:widowControl/>
              <w:adjustRightInd w:val="0"/>
              <w:snapToGrid w:val="0"/>
              <w:spacing w:after="0" w:line="240" w:lineRule="auto"/>
              <w:jc w:val="center"/>
              <w:rPr>
                <w:rFonts w:hint="eastAsia" w:ascii="Times New Roman" w:hAnsi="Times New Roman" w:eastAsia="华文宋体" w:cs="Times New Roman"/>
                <w:lang w:val="en-US" w:eastAsia="zh-CN"/>
              </w:rPr>
            </w:pPr>
            <w:r>
              <w:rPr>
                <w:rFonts w:hint="eastAsia" w:ascii="Times New Roman" w:hAnsi="Times New Roman" w:eastAsia="华文宋体" w:cs="Times New Roman"/>
                <w:lang w:val="en-US" w:eastAsia="zh-CN"/>
              </w:rPr>
              <w:t>秋季</w:t>
            </w:r>
          </w:p>
        </w:tc>
      </w:tr>
      <w:tr>
        <w:tblPrEx>
          <w:tblCellMar>
            <w:top w:w="0" w:type="dxa"/>
            <w:left w:w="108" w:type="dxa"/>
            <w:bottom w:w="0" w:type="dxa"/>
            <w:right w:w="108" w:type="dxa"/>
          </w:tblCellMar>
        </w:tblPrEx>
        <w:trPr>
          <w:trHeight w:val="20" w:hRule="atLeast"/>
          <w:jc w:val="center"/>
        </w:trPr>
        <w:tc>
          <w:tcPr>
            <w:tcW w:w="1571" w:type="dxa"/>
            <w:vMerge w:val="continue"/>
            <w:tcBorders>
              <w:bottom w:val="double" w:color="auto" w:sz="4" w:space="0"/>
              <w:right w:val="single" w:color="auto" w:sz="8" w:space="0"/>
            </w:tcBorders>
            <w:shd w:val="clear" w:color="auto" w:fill="auto"/>
            <w:vAlign w:val="center"/>
          </w:tcPr>
          <w:p>
            <w:pPr>
              <w:widowControl/>
              <w:adjustRightInd w:val="0"/>
              <w:snapToGrid w:val="0"/>
              <w:spacing w:after="0" w:line="240" w:lineRule="auto"/>
              <w:jc w:val="center"/>
              <w:rPr>
                <w:rFonts w:ascii="Times New Roman" w:hAnsi="Times New Roman" w:eastAsia="华文宋体" w:cs="Times New Roman"/>
              </w:rPr>
            </w:pPr>
          </w:p>
        </w:tc>
        <w:tc>
          <w:tcPr>
            <w:tcW w:w="1276" w:type="dxa"/>
            <w:tcBorders>
              <w:top w:val="nil"/>
              <w:left w:val="nil"/>
              <w:bottom w:val="double" w:color="auto" w:sz="4" w:space="0"/>
              <w:right w:val="single" w:color="auto" w:sz="8" w:space="0"/>
            </w:tcBorders>
            <w:shd w:val="clear" w:color="auto" w:fill="auto"/>
            <w:vAlign w:val="center"/>
          </w:tcPr>
          <w:p>
            <w:pPr>
              <w:widowControl/>
              <w:adjustRightInd w:val="0"/>
              <w:snapToGrid w:val="0"/>
              <w:spacing w:after="0" w:line="240" w:lineRule="auto"/>
              <w:jc w:val="center"/>
              <w:rPr>
                <w:rFonts w:ascii="Times New Roman" w:hAnsi="Times New Roman" w:eastAsia="华文宋体" w:cs="Times New Roman"/>
              </w:rPr>
            </w:pPr>
            <w:r>
              <w:rPr>
                <w:rFonts w:ascii="Times New Roman" w:hAnsi="Times New Roman" w:eastAsia="华文宋体" w:cs="Times New Roman"/>
              </w:rPr>
              <w:t>GCC-203</w:t>
            </w:r>
          </w:p>
        </w:tc>
        <w:tc>
          <w:tcPr>
            <w:tcW w:w="3806" w:type="dxa"/>
            <w:tcBorders>
              <w:top w:val="nil"/>
              <w:left w:val="nil"/>
              <w:bottom w:val="double" w:color="auto" w:sz="4" w:space="0"/>
              <w:right w:val="single" w:color="auto" w:sz="8" w:space="0"/>
            </w:tcBorders>
            <w:shd w:val="clear" w:color="auto" w:fill="auto"/>
            <w:vAlign w:val="center"/>
          </w:tcPr>
          <w:p>
            <w:pPr>
              <w:widowControl/>
              <w:adjustRightInd w:val="0"/>
              <w:snapToGrid w:val="0"/>
              <w:spacing w:after="0" w:line="240" w:lineRule="auto"/>
              <w:jc w:val="center"/>
              <w:rPr>
                <w:rFonts w:ascii="Times New Roman" w:hAnsi="Times New Roman" w:eastAsia="华文宋体" w:cs="Times New Roman"/>
              </w:rPr>
            </w:pPr>
            <w:r>
              <w:rPr>
                <w:rFonts w:ascii="Times New Roman" w:hAnsi="Times New Roman" w:eastAsia="华文宋体" w:cs="Times New Roman"/>
              </w:rPr>
              <w:t>气候变化与可持续发展</w:t>
            </w:r>
          </w:p>
        </w:tc>
        <w:tc>
          <w:tcPr>
            <w:tcW w:w="708" w:type="dxa"/>
            <w:tcBorders>
              <w:top w:val="nil"/>
              <w:left w:val="nil"/>
              <w:bottom w:val="double" w:color="auto" w:sz="4" w:space="0"/>
              <w:right w:val="single" w:color="auto" w:sz="8" w:space="0"/>
            </w:tcBorders>
            <w:shd w:val="clear" w:color="auto" w:fill="auto"/>
            <w:vAlign w:val="center"/>
          </w:tcPr>
          <w:p>
            <w:pPr>
              <w:widowControl/>
              <w:adjustRightInd w:val="0"/>
              <w:snapToGrid w:val="0"/>
              <w:spacing w:after="0" w:line="240" w:lineRule="auto"/>
              <w:jc w:val="center"/>
              <w:rPr>
                <w:rFonts w:ascii="Times New Roman" w:hAnsi="Times New Roman" w:eastAsia="华文宋体" w:cs="Times New Roman"/>
              </w:rPr>
            </w:pPr>
            <w:r>
              <w:rPr>
                <w:rFonts w:ascii="Times New Roman" w:hAnsi="Times New Roman" w:eastAsia="华文宋体" w:cs="Times New Roman"/>
              </w:rPr>
              <w:t>16</w:t>
            </w:r>
          </w:p>
        </w:tc>
        <w:tc>
          <w:tcPr>
            <w:tcW w:w="1286" w:type="dxa"/>
            <w:tcBorders>
              <w:top w:val="nil"/>
              <w:left w:val="nil"/>
              <w:bottom w:val="double" w:color="auto" w:sz="4" w:space="0"/>
            </w:tcBorders>
            <w:shd w:val="clear" w:color="auto" w:fill="auto"/>
            <w:vAlign w:val="center"/>
          </w:tcPr>
          <w:p>
            <w:pPr>
              <w:widowControl/>
              <w:adjustRightInd w:val="0"/>
              <w:snapToGrid w:val="0"/>
              <w:spacing w:after="0" w:line="240" w:lineRule="auto"/>
              <w:jc w:val="center"/>
              <w:rPr>
                <w:rFonts w:hint="eastAsia" w:ascii="Times New Roman" w:hAnsi="Times New Roman" w:eastAsia="华文宋体" w:cs="Times New Roman"/>
                <w:lang w:val="en-US" w:eastAsia="zh-CN"/>
              </w:rPr>
            </w:pPr>
            <w:r>
              <w:rPr>
                <w:rFonts w:hint="eastAsia" w:ascii="Times New Roman" w:hAnsi="Times New Roman" w:eastAsia="华文宋体" w:cs="Times New Roman"/>
                <w:b/>
                <w:bCs/>
                <w:lang w:val="en-US" w:eastAsia="zh-CN"/>
              </w:rPr>
              <w:t>春季</w:t>
            </w:r>
          </w:p>
        </w:tc>
      </w:tr>
      <w:tr>
        <w:tblPrEx>
          <w:tblCellMar>
            <w:top w:w="0" w:type="dxa"/>
            <w:left w:w="108" w:type="dxa"/>
            <w:bottom w:w="0" w:type="dxa"/>
            <w:right w:w="108" w:type="dxa"/>
          </w:tblCellMar>
        </w:tblPrEx>
        <w:trPr>
          <w:trHeight w:val="20" w:hRule="atLeast"/>
          <w:jc w:val="center"/>
        </w:trPr>
        <w:tc>
          <w:tcPr>
            <w:tcW w:w="1571" w:type="dxa"/>
            <w:vMerge w:val="restart"/>
            <w:tcBorders>
              <w:top w:val="double" w:color="auto" w:sz="4" w:space="0"/>
              <w:right w:val="single" w:color="auto" w:sz="8" w:space="0"/>
            </w:tcBorders>
            <w:shd w:val="clear" w:color="auto" w:fill="auto"/>
            <w:vAlign w:val="center"/>
          </w:tcPr>
          <w:p>
            <w:pPr>
              <w:widowControl/>
              <w:adjustRightInd w:val="0"/>
              <w:snapToGrid w:val="0"/>
              <w:spacing w:after="0" w:line="240" w:lineRule="auto"/>
              <w:jc w:val="center"/>
              <w:rPr>
                <w:rFonts w:ascii="Times New Roman" w:hAnsi="Times New Roman" w:eastAsia="华文宋体" w:cs="Times New Roman"/>
                <w:color w:val="000000"/>
              </w:rPr>
            </w:pPr>
            <w:r>
              <w:rPr>
                <w:rFonts w:ascii="Times New Roman" w:hAnsi="Times New Roman" w:eastAsia="华文宋体" w:cs="Times New Roman"/>
                <w:color w:val="000000"/>
              </w:rPr>
              <w:t>（三）</w:t>
            </w:r>
          </w:p>
          <w:p>
            <w:pPr>
              <w:widowControl/>
              <w:adjustRightInd w:val="0"/>
              <w:snapToGrid w:val="0"/>
              <w:spacing w:after="0" w:line="240" w:lineRule="auto"/>
              <w:jc w:val="center"/>
              <w:rPr>
                <w:rFonts w:ascii="Times New Roman" w:hAnsi="Times New Roman" w:eastAsia="华文宋体" w:cs="Times New Roman"/>
                <w:color w:val="000000"/>
              </w:rPr>
            </w:pPr>
            <w:r>
              <w:rPr>
                <w:rFonts w:ascii="Times New Roman" w:hAnsi="Times New Roman" w:eastAsia="华文宋体" w:cs="Times New Roman"/>
                <w:color w:val="000000"/>
              </w:rPr>
              <w:t>跨文化沟通</w:t>
            </w:r>
          </w:p>
        </w:tc>
        <w:tc>
          <w:tcPr>
            <w:tcW w:w="1276" w:type="dxa"/>
            <w:tcBorders>
              <w:top w:val="double" w:color="auto" w:sz="4" w:space="0"/>
              <w:left w:val="nil"/>
              <w:bottom w:val="single" w:color="auto" w:sz="8" w:space="0"/>
              <w:right w:val="single" w:color="auto" w:sz="8" w:space="0"/>
            </w:tcBorders>
            <w:shd w:val="clear" w:color="auto" w:fill="auto"/>
            <w:vAlign w:val="center"/>
          </w:tcPr>
          <w:p>
            <w:pPr>
              <w:widowControl/>
              <w:adjustRightInd w:val="0"/>
              <w:snapToGrid w:val="0"/>
              <w:spacing w:after="0" w:line="240" w:lineRule="auto"/>
              <w:jc w:val="center"/>
              <w:rPr>
                <w:rFonts w:ascii="Times New Roman" w:hAnsi="Times New Roman" w:eastAsia="华文宋体" w:cs="Times New Roman"/>
                <w:color w:val="000000"/>
              </w:rPr>
            </w:pPr>
            <w:r>
              <w:rPr>
                <w:rFonts w:ascii="Times New Roman" w:hAnsi="Times New Roman" w:eastAsia="华文宋体" w:cs="Times New Roman"/>
                <w:color w:val="000000"/>
              </w:rPr>
              <w:t>GCC-301</w:t>
            </w:r>
          </w:p>
        </w:tc>
        <w:tc>
          <w:tcPr>
            <w:tcW w:w="3806" w:type="dxa"/>
            <w:tcBorders>
              <w:top w:val="double" w:color="auto" w:sz="4" w:space="0"/>
              <w:left w:val="nil"/>
              <w:bottom w:val="single" w:color="auto" w:sz="8" w:space="0"/>
              <w:right w:val="single" w:color="auto" w:sz="8" w:space="0"/>
            </w:tcBorders>
            <w:shd w:val="clear" w:color="auto" w:fill="auto"/>
            <w:vAlign w:val="center"/>
          </w:tcPr>
          <w:p>
            <w:pPr>
              <w:widowControl/>
              <w:adjustRightInd w:val="0"/>
              <w:snapToGrid w:val="0"/>
              <w:spacing w:after="0" w:line="240" w:lineRule="auto"/>
              <w:jc w:val="center"/>
              <w:rPr>
                <w:rFonts w:ascii="Times New Roman" w:hAnsi="Times New Roman" w:eastAsia="华文宋体" w:cs="Times New Roman"/>
                <w:color w:val="000000"/>
              </w:rPr>
            </w:pPr>
            <w:r>
              <w:rPr>
                <w:rFonts w:ascii="Times New Roman" w:hAnsi="Times New Roman" w:eastAsia="华文宋体" w:cs="Times New Roman"/>
                <w:color w:val="000000"/>
              </w:rPr>
              <w:t>跨文化沟通与交流</w:t>
            </w:r>
          </w:p>
        </w:tc>
        <w:tc>
          <w:tcPr>
            <w:tcW w:w="708" w:type="dxa"/>
            <w:tcBorders>
              <w:top w:val="double" w:color="auto" w:sz="4" w:space="0"/>
              <w:left w:val="nil"/>
              <w:bottom w:val="single" w:color="auto" w:sz="8" w:space="0"/>
              <w:right w:val="single" w:color="auto" w:sz="8" w:space="0"/>
            </w:tcBorders>
            <w:shd w:val="clear" w:color="auto" w:fill="auto"/>
            <w:vAlign w:val="center"/>
          </w:tcPr>
          <w:p>
            <w:pPr>
              <w:widowControl/>
              <w:adjustRightInd w:val="0"/>
              <w:snapToGrid w:val="0"/>
              <w:spacing w:after="0" w:line="240" w:lineRule="auto"/>
              <w:jc w:val="center"/>
              <w:rPr>
                <w:rFonts w:ascii="Times New Roman" w:hAnsi="Times New Roman" w:eastAsia="华文宋体" w:cs="Times New Roman"/>
                <w:color w:val="000000"/>
              </w:rPr>
            </w:pPr>
            <w:r>
              <w:rPr>
                <w:rFonts w:ascii="Times New Roman" w:hAnsi="Times New Roman" w:eastAsia="华文宋体" w:cs="Times New Roman"/>
                <w:color w:val="000000"/>
              </w:rPr>
              <w:t>16</w:t>
            </w:r>
          </w:p>
        </w:tc>
        <w:tc>
          <w:tcPr>
            <w:tcW w:w="1286" w:type="dxa"/>
            <w:tcBorders>
              <w:top w:val="double" w:color="auto" w:sz="4" w:space="0"/>
              <w:left w:val="nil"/>
              <w:bottom w:val="single" w:color="auto" w:sz="8" w:space="0"/>
            </w:tcBorders>
            <w:shd w:val="clear" w:color="auto" w:fill="auto"/>
            <w:vAlign w:val="center"/>
          </w:tcPr>
          <w:p>
            <w:pPr>
              <w:widowControl/>
              <w:adjustRightInd w:val="0"/>
              <w:snapToGrid w:val="0"/>
              <w:spacing w:after="0" w:line="240" w:lineRule="auto"/>
              <w:jc w:val="center"/>
              <w:rPr>
                <w:rFonts w:hint="eastAsia" w:ascii="Times New Roman" w:hAnsi="Times New Roman" w:eastAsia="华文宋体" w:cs="Times New Roman"/>
                <w:lang w:val="en-US" w:eastAsia="zh-CN"/>
              </w:rPr>
            </w:pPr>
            <w:r>
              <w:rPr>
                <w:rFonts w:hint="eastAsia" w:ascii="Times New Roman" w:hAnsi="Times New Roman" w:eastAsia="华文宋体" w:cs="Times New Roman"/>
                <w:lang w:val="en-US" w:eastAsia="zh-CN"/>
              </w:rPr>
              <w:t>秋季</w:t>
            </w:r>
          </w:p>
        </w:tc>
      </w:tr>
      <w:tr>
        <w:tblPrEx>
          <w:tblCellMar>
            <w:top w:w="0" w:type="dxa"/>
            <w:left w:w="108" w:type="dxa"/>
            <w:bottom w:w="0" w:type="dxa"/>
            <w:right w:w="108" w:type="dxa"/>
          </w:tblCellMar>
        </w:tblPrEx>
        <w:trPr>
          <w:trHeight w:val="20" w:hRule="atLeast"/>
          <w:jc w:val="center"/>
        </w:trPr>
        <w:tc>
          <w:tcPr>
            <w:tcW w:w="1571" w:type="dxa"/>
            <w:vMerge w:val="continue"/>
            <w:tcBorders>
              <w:right w:val="single" w:color="auto" w:sz="8" w:space="0"/>
            </w:tcBorders>
            <w:shd w:val="clear" w:color="auto" w:fill="auto"/>
            <w:vAlign w:val="center"/>
          </w:tcPr>
          <w:p>
            <w:pPr>
              <w:widowControl/>
              <w:adjustRightInd w:val="0"/>
              <w:snapToGrid w:val="0"/>
              <w:spacing w:after="0" w:line="240" w:lineRule="auto"/>
              <w:jc w:val="center"/>
              <w:rPr>
                <w:rFonts w:ascii="Times New Roman" w:hAnsi="Times New Roman" w:eastAsia="华文宋体" w:cs="Times New Roman"/>
                <w:color w:val="000000"/>
              </w:rPr>
            </w:pPr>
          </w:p>
        </w:tc>
        <w:tc>
          <w:tcPr>
            <w:tcW w:w="1276" w:type="dxa"/>
            <w:tcBorders>
              <w:top w:val="nil"/>
              <w:left w:val="nil"/>
              <w:bottom w:val="single" w:color="auto" w:sz="8" w:space="0"/>
              <w:right w:val="single" w:color="auto" w:sz="8" w:space="0"/>
            </w:tcBorders>
            <w:shd w:val="clear" w:color="auto" w:fill="auto"/>
            <w:vAlign w:val="center"/>
          </w:tcPr>
          <w:p>
            <w:pPr>
              <w:widowControl/>
              <w:adjustRightInd w:val="0"/>
              <w:snapToGrid w:val="0"/>
              <w:spacing w:after="0" w:line="240" w:lineRule="auto"/>
              <w:jc w:val="center"/>
              <w:rPr>
                <w:rFonts w:ascii="Times New Roman" w:hAnsi="Times New Roman" w:eastAsia="华文宋体" w:cs="Times New Roman"/>
                <w:color w:val="000000"/>
              </w:rPr>
            </w:pPr>
            <w:r>
              <w:rPr>
                <w:rFonts w:ascii="Times New Roman" w:hAnsi="Times New Roman" w:eastAsia="华文宋体" w:cs="Times New Roman"/>
                <w:color w:val="000000"/>
              </w:rPr>
              <w:t>GCC-302</w:t>
            </w:r>
          </w:p>
        </w:tc>
        <w:tc>
          <w:tcPr>
            <w:tcW w:w="3806" w:type="dxa"/>
            <w:tcBorders>
              <w:top w:val="nil"/>
              <w:left w:val="nil"/>
              <w:bottom w:val="single" w:color="auto" w:sz="8" w:space="0"/>
              <w:right w:val="single" w:color="auto" w:sz="8" w:space="0"/>
            </w:tcBorders>
            <w:shd w:val="clear" w:color="auto" w:fill="auto"/>
            <w:vAlign w:val="center"/>
          </w:tcPr>
          <w:p>
            <w:pPr>
              <w:widowControl/>
              <w:adjustRightInd w:val="0"/>
              <w:snapToGrid w:val="0"/>
              <w:spacing w:after="0" w:line="240" w:lineRule="auto"/>
              <w:jc w:val="center"/>
              <w:rPr>
                <w:rFonts w:ascii="Times New Roman" w:hAnsi="Times New Roman" w:eastAsia="华文宋体" w:cs="Times New Roman"/>
                <w:color w:val="000000"/>
              </w:rPr>
            </w:pPr>
            <w:r>
              <w:rPr>
                <w:rFonts w:ascii="Times New Roman" w:hAnsi="Times New Roman" w:eastAsia="华文宋体" w:cs="Times New Roman"/>
                <w:color w:val="000000"/>
              </w:rPr>
              <w:t>演讲与辩论技能</w:t>
            </w:r>
          </w:p>
        </w:tc>
        <w:tc>
          <w:tcPr>
            <w:tcW w:w="708" w:type="dxa"/>
            <w:tcBorders>
              <w:top w:val="nil"/>
              <w:left w:val="nil"/>
              <w:bottom w:val="single" w:color="auto" w:sz="8" w:space="0"/>
              <w:right w:val="single" w:color="auto" w:sz="8" w:space="0"/>
            </w:tcBorders>
            <w:shd w:val="clear" w:color="auto" w:fill="auto"/>
            <w:vAlign w:val="center"/>
          </w:tcPr>
          <w:p>
            <w:pPr>
              <w:widowControl/>
              <w:adjustRightInd w:val="0"/>
              <w:snapToGrid w:val="0"/>
              <w:spacing w:after="0" w:line="240" w:lineRule="auto"/>
              <w:jc w:val="center"/>
              <w:rPr>
                <w:rFonts w:ascii="Times New Roman" w:hAnsi="Times New Roman" w:eastAsia="华文宋体" w:cs="Times New Roman"/>
                <w:color w:val="000000"/>
              </w:rPr>
            </w:pPr>
            <w:r>
              <w:rPr>
                <w:rFonts w:ascii="Times New Roman" w:hAnsi="Times New Roman" w:eastAsia="华文宋体" w:cs="Times New Roman"/>
                <w:color w:val="000000"/>
              </w:rPr>
              <w:t>16</w:t>
            </w:r>
          </w:p>
        </w:tc>
        <w:tc>
          <w:tcPr>
            <w:tcW w:w="1286" w:type="dxa"/>
            <w:tcBorders>
              <w:top w:val="nil"/>
              <w:left w:val="nil"/>
              <w:bottom w:val="single" w:color="auto" w:sz="8" w:space="0"/>
            </w:tcBorders>
            <w:shd w:val="clear" w:color="auto" w:fill="auto"/>
            <w:vAlign w:val="center"/>
          </w:tcPr>
          <w:p>
            <w:pPr>
              <w:widowControl/>
              <w:adjustRightInd w:val="0"/>
              <w:snapToGrid w:val="0"/>
              <w:spacing w:after="0" w:line="240" w:lineRule="auto"/>
              <w:jc w:val="center"/>
              <w:rPr>
                <w:rFonts w:hint="eastAsia" w:ascii="Times New Roman" w:hAnsi="Times New Roman" w:eastAsia="华文宋体" w:cs="Times New Roman"/>
                <w:lang w:val="en-US" w:eastAsia="zh-CN"/>
              </w:rPr>
            </w:pPr>
            <w:r>
              <w:rPr>
                <w:rFonts w:hint="eastAsia" w:ascii="Times New Roman" w:hAnsi="Times New Roman" w:eastAsia="华文宋体" w:cs="Times New Roman"/>
                <w:b/>
                <w:bCs/>
                <w:lang w:val="en-US" w:eastAsia="zh-CN"/>
              </w:rPr>
              <w:t>春季</w:t>
            </w:r>
          </w:p>
        </w:tc>
      </w:tr>
      <w:tr>
        <w:tblPrEx>
          <w:tblCellMar>
            <w:top w:w="0" w:type="dxa"/>
            <w:left w:w="108" w:type="dxa"/>
            <w:bottom w:w="0" w:type="dxa"/>
            <w:right w:w="108" w:type="dxa"/>
          </w:tblCellMar>
        </w:tblPrEx>
        <w:trPr>
          <w:trHeight w:val="20" w:hRule="atLeast"/>
          <w:jc w:val="center"/>
        </w:trPr>
        <w:tc>
          <w:tcPr>
            <w:tcW w:w="1571" w:type="dxa"/>
            <w:vMerge w:val="continue"/>
            <w:tcBorders>
              <w:bottom w:val="double" w:color="auto" w:sz="4" w:space="0"/>
              <w:right w:val="single" w:color="auto" w:sz="8" w:space="0"/>
            </w:tcBorders>
            <w:shd w:val="clear" w:color="auto" w:fill="auto"/>
            <w:vAlign w:val="center"/>
          </w:tcPr>
          <w:p>
            <w:pPr>
              <w:widowControl/>
              <w:adjustRightInd w:val="0"/>
              <w:snapToGrid w:val="0"/>
              <w:spacing w:after="0" w:line="240" w:lineRule="auto"/>
              <w:jc w:val="center"/>
              <w:rPr>
                <w:rFonts w:ascii="Times New Roman" w:hAnsi="Times New Roman" w:eastAsia="华文宋体" w:cs="Times New Roman"/>
                <w:color w:val="000000"/>
              </w:rPr>
            </w:pPr>
          </w:p>
        </w:tc>
        <w:tc>
          <w:tcPr>
            <w:tcW w:w="1276" w:type="dxa"/>
            <w:tcBorders>
              <w:top w:val="nil"/>
              <w:left w:val="nil"/>
              <w:bottom w:val="double" w:color="auto" w:sz="4" w:space="0"/>
              <w:right w:val="single" w:color="auto" w:sz="8" w:space="0"/>
            </w:tcBorders>
            <w:shd w:val="clear" w:color="auto" w:fill="auto"/>
            <w:vAlign w:val="center"/>
          </w:tcPr>
          <w:p>
            <w:pPr>
              <w:widowControl/>
              <w:adjustRightInd w:val="0"/>
              <w:snapToGrid w:val="0"/>
              <w:spacing w:after="0" w:line="240" w:lineRule="auto"/>
              <w:jc w:val="center"/>
              <w:rPr>
                <w:rFonts w:ascii="Times New Roman" w:hAnsi="Times New Roman" w:eastAsia="华文宋体" w:cs="Times New Roman"/>
                <w:color w:val="000000"/>
              </w:rPr>
            </w:pPr>
            <w:r>
              <w:rPr>
                <w:rFonts w:ascii="Times New Roman" w:hAnsi="Times New Roman" w:eastAsia="华文宋体" w:cs="Times New Roman"/>
                <w:color w:val="000000"/>
              </w:rPr>
              <w:t>GCC-303</w:t>
            </w:r>
          </w:p>
        </w:tc>
        <w:tc>
          <w:tcPr>
            <w:tcW w:w="3806" w:type="dxa"/>
            <w:tcBorders>
              <w:top w:val="nil"/>
              <w:left w:val="nil"/>
              <w:bottom w:val="double" w:color="auto" w:sz="4" w:space="0"/>
              <w:right w:val="single" w:color="auto" w:sz="8" w:space="0"/>
            </w:tcBorders>
            <w:shd w:val="clear" w:color="auto" w:fill="auto"/>
            <w:vAlign w:val="center"/>
          </w:tcPr>
          <w:p>
            <w:pPr>
              <w:widowControl/>
              <w:adjustRightInd w:val="0"/>
              <w:snapToGrid w:val="0"/>
              <w:spacing w:after="0" w:line="240" w:lineRule="auto"/>
              <w:jc w:val="center"/>
              <w:rPr>
                <w:rFonts w:ascii="Times New Roman" w:hAnsi="Times New Roman" w:eastAsia="华文宋体" w:cs="Times New Roman"/>
                <w:color w:val="000000"/>
              </w:rPr>
            </w:pPr>
            <w:r>
              <w:rPr>
                <w:rFonts w:ascii="Times New Roman" w:hAnsi="Times New Roman" w:eastAsia="华文宋体" w:cs="Times New Roman"/>
                <w:color w:val="000000"/>
              </w:rPr>
              <w:t>国际公文写作</w:t>
            </w:r>
          </w:p>
        </w:tc>
        <w:tc>
          <w:tcPr>
            <w:tcW w:w="708" w:type="dxa"/>
            <w:tcBorders>
              <w:top w:val="nil"/>
              <w:left w:val="nil"/>
              <w:bottom w:val="double" w:color="auto" w:sz="4" w:space="0"/>
              <w:right w:val="single" w:color="auto" w:sz="8" w:space="0"/>
            </w:tcBorders>
            <w:shd w:val="clear" w:color="auto" w:fill="auto"/>
            <w:vAlign w:val="center"/>
          </w:tcPr>
          <w:p>
            <w:pPr>
              <w:widowControl/>
              <w:adjustRightInd w:val="0"/>
              <w:snapToGrid w:val="0"/>
              <w:spacing w:after="0" w:line="240" w:lineRule="auto"/>
              <w:jc w:val="center"/>
              <w:rPr>
                <w:rFonts w:ascii="Times New Roman" w:hAnsi="Times New Roman" w:eastAsia="华文宋体" w:cs="Times New Roman"/>
                <w:color w:val="000000"/>
              </w:rPr>
            </w:pPr>
            <w:r>
              <w:rPr>
                <w:rFonts w:ascii="Times New Roman" w:hAnsi="Times New Roman" w:eastAsia="华文宋体" w:cs="Times New Roman"/>
                <w:color w:val="000000"/>
              </w:rPr>
              <w:t>16</w:t>
            </w:r>
          </w:p>
        </w:tc>
        <w:tc>
          <w:tcPr>
            <w:tcW w:w="1286" w:type="dxa"/>
            <w:tcBorders>
              <w:top w:val="nil"/>
              <w:left w:val="nil"/>
              <w:bottom w:val="double" w:color="auto" w:sz="4" w:space="0"/>
            </w:tcBorders>
            <w:shd w:val="clear" w:color="auto" w:fill="auto"/>
            <w:vAlign w:val="center"/>
          </w:tcPr>
          <w:p>
            <w:pPr>
              <w:widowControl/>
              <w:adjustRightInd w:val="0"/>
              <w:snapToGrid w:val="0"/>
              <w:spacing w:after="0" w:line="240" w:lineRule="auto"/>
              <w:jc w:val="center"/>
              <w:rPr>
                <w:rFonts w:hint="eastAsia" w:ascii="Times New Roman" w:hAnsi="Times New Roman" w:eastAsia="华文宋体" w:cs="Times New Roman"/>
                <w:lang w:val="en-US" w:eastAsia="zh-CN"/>
              </w:rPr>
            </w:pPr>
            <w:r>
              <w:rPr>
                <w:rFonts w:hint="eastAsia" w:ascii="Times New Roman" w:hAnsi="Times New Roman" w:eastAsia="华文宋体" w:cs="Times New Roman"/>
                <w:lang w:val="en-US" w:eastAsia="zh-CN"/>
              </w:rPr>
              <w:t>秋季</w:t>
            </w:r>
          </w:p>
        </w:tc>
      </w:tr>
      <w:tr>
        <w:tblPrEx>
          <w:tblCellMar>
            <w:top w:w="0" w:type="dxa"/>
            <w:left w:w="108" w:type="dxa"/>
            <w:bottom w:w="0" w:type="dxa"/>
            <w:right w:w="108" w:type="dxa"/>
          </w:tblCellMar>
        </w:tblPrEx>
        <w:trPr>
          <w:trHeight w:val="20" w:hRule="atLeast"/>
          <w:jc w:val="center"/>
        </w:trPr>
        <w:tc>
          <w:tcPr>
            <w:tcW w:w="1571" w:type="dxa"/>
            <w:tcBorders>
              <w:top w:val="double" w:color="auto" w:sz="4" w:space="0"/>
              <w:bottom w:val="single" w:color="auto" w:sz="4" w:space="0"/>
              <w:right w:val="single" w:color="auto" w:sz="4" w:space="0"/>
            </w:tcBorders>
            <w:shd w:val="clear" w:color="auto" w:fill="auto"/>
            <w:vAlign w:val="center"/>
          </w:tcPr>
          <w:p>
            <w:pPr>
              <w:adjustRightInd w:val="0"/>
              <w:snapToGrid w:val="0"/>
              <w:spacing w:after="0" w:line="240" w:lineRule="auto"/>
              <w:jc w:val="center"/>
              <w:rPr>
                <w:rFonts w:ascii="Times New Roman" w:hAnsi="Times New Roman" w:eastAsia="华文宋体" w:cs="Times New Roman"/>
                <w:color w:val="000000"/>
              </w:rPr>
            </w:pPr>
            <w:r>
              <w:rPr>
                <w:rFonts w:ascii="Times New Roman" w:hAnsi="Times New Roman" w:eastAsia="华文宋体" w:cs="Times New Roman"/>
                <w:color w:val="000000"/>
              </w:rPr>
              <w:t>讲座</w:t>
            </w:r>
          </w:p>
        </w:tc>
        <w:tc>
          <w:tcPr>
            <w:tcW w:w="1276" w:type="dxa"/>
            <w:tcBorders>
              <w:top w:val="doub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after="0" w:line="240" w:lineRule="auto"/>
              <w:jc w:val="center"/>
              <w:rPr>
                <w:rFonts w:ascii="Times New Roman" w:hAnsi="Times New Roman" w:eastAsia="华文宋体" w:cs="Times New Roman"/>
                <w:color w:val="000000"/>
              </w:rPr>
            </w:pPr>
            <w:r>
              <w:rPr>
                <w:rFonts w:ascii="Times New Roman" w:hAnsi="Times New Roman" w:eastAsia="华文宋体" w:cs="Times New Roman"/>
                <w:color w:val="000000"/>
              </w:rPr>
              <w:t>GCC-L01</w:t>
            </w:r>
          </w:p>
        </w:tc>
        <w:tc>
          <w:tcPr>
            <w:tcW w:w="3806" w:type="dxa"/>
            <w:tcBorders>
              <w:top w:val="doub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after="0" w:line="240" w:lineRule="auto"/>
              <w:jc w:val="center"/>
              <w:rPr>
                <w:rFonts w:ascii="Times New Roman" w:hAnsi="Times New Roman" w:eastAsia="华文宋体" w:cs="Times New Roman"/>
                <w:color w:val="000000"/>
              </w:rPr>
            </w:pPr>
            <w:r>
              <w:rPr>
                <w:rFonts w:ascii="Times New Roman" w:hAnsi="Times New Roman" w:eastAsia="华文宋体" w:cs="Times New Roman"/>
                <w:color w:val="000000"/>
              </w:rPr>
              <w:t>9项与课程主题</w:t>
            </w:r>
          </w:p>
          <w:p>
            <w:pPr>
              <w:widowControl/>
              <w:adjustRightInd w:val="0"/>
              <w:snapToGrid w:val="0"/>
              <w:spacing w:after="0" w:line="240" w:lineRule="auto"/>
              <w:jc w:val="center"/>
              <w:rPr>
                <w:rFonts w:ascii="Times New Roman" w:hAnsi="Times New Roman" w:eastAsia="华文宋体" w:cs="Times New Roman"/>
                <w:color w:val="000000"/>
              </w:rPr>
            </w:pPr>
            <w:r>
              <w:rPr>
                <w:rFonts w:ascii="Times New Roman" w:hAnsi="Times New Roman" w:eastAsia="华文宋体" w:cs="Times New Roman"/>
                <w:color w:val="000000"/>
              </w:rPr>
              <w:t>相结合的系列讲座</w:t>
            </w:r>
          </w:p>
        </w:tc>
        <w:tc>
          <w:tcPr>
            <w:tcW w:w="708" w:type="dxa"/>
            <w:tcBorders>
              <w:top w:val="doub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after="0" w:line="240" w:lineRule="auto"/>
              <w:jc w:val="center"/>
              <w:rPr>
                <w:rFonts w:ascii="Times New Roman" w:hAnsi="Times New Roman" w:eastAsia="华文宋体" w:cs="Times New Roman"/>
                <w:color w:val="000000"/>
              </w:rPr>
            </w:pPr>
            <w:r>
              <w:rPr>
                <w:rFonts w:ascii="Times New Roman" w:hAnsi="Times New Roman" w:eastAsia="华文宋体" w:cs="Times New Roman"/>
                <w:color w:val="000000"/>
              </w:rPr>
              <w:t>18</w:t>
            </w:r>
          </w:p>
        </w:tc>
        <w:tc>
          <w:tcPr>
            <w:tcW w:w="1286" w:type="dxa"/>
            <w:tcBorders>
              <w:top w:val="double" w:color="auto" w:sz="4" w:space="0"/>
              <w:left w:val="single" w:color="auto" w:sz="4" w:space="0"/>
              <w:bottom w:val="single" w:color="auto" w:sz="4" w:space="0"/>
            </w:tcBorders>
            <w:shd w:val="clear" w:color="auto" w:fill="auto"/>
            <w:vAlign w:val="center"/>
          </w:tcPr>
          <w:p>
            <w:pPr>
              <w:widowControl/>
              <w:adjustRightInd w:val="0"/>
              <w:snapToGrid w:val="0"/>
              <w:spacing w:after="0" w:line="240" w:lineRule="auto"/>
              <w:jc w:val="center"/>
              <w:rPr>
                <w:rFonts w:ascii="Times New Roman" w:hAnsi="Times New Roman" w:eastAsia="华文宋体" w:cs="Times New Roman"/>
                <w:color w:val="000000"/>
              </w:rPr>
            </w:pPr>
          </w:p>
        </w:tc>
      </w:tr>
      <w:tr>
        <w:tblPrEx>
          <w:tblCellMar>
            <w:top w:w="0" w:type="dxa"/>
            <w:left w:w="108" w:type="dxa"/>
            <w:bottom w:w="0" w:type="dxa"/>
            <w:right w:w="108" w:type="dxa"/>
          </w:tblCellMar>
        </w:tblPrEx>
        <w:trPr>
          <w:trHeight w:val="20" w:hRule="atLeast"/>
          <w:jc w:val="center"/>
        </w:trPr>
        <w:tc>
          <w:tcPr>
            <w:tcW w:w="1571" w:type="dxa"/>
            <w:tcBorders>
              <w:top w:val="double" w:color="auto" w:sz="4" w:space="0"/>
              <w:bottom w:val="double" w:color="auto" w:sz="4" w:space="0"/>
              <w:right w:val="single" w:color="auto" w:sz="8" w:space="0"/>
            </w:tcBorders>
            <w:shd w:val="clear" w:color="auto" w:fill="auto"/>
            <w:vAlign w:val="center"/>
          </w:tcPr>
          <w:p>
            <w:pPr>
              <w:widowControl/>
              <w:adjustRightInd w:val="0"/>
              <w:snapToGrid w:val="0"/>
              <w:spacing w:after="0" w:line="240" w:lineRule="auto"/>
              <w:jc w:val="center"/>
              <w:rPr>
                <w:rFonts w:ascii="Times New Roman" w:hAnsi="Times New Roman" w:eastAsia="华文宋体" w:cs="Times New Roman"/>
                <w:color w:val="000000"/>
              </w:rPr>
            </w:pPr>
            <w:r>
              <w:rPr>
                <w:rFonts w:ascii="Times New Roman" w:hAnsi="Times New Roman" w:eastAsia="华文宋体" w:cs="Times New Roman"/>
                <w:color w:val="000000"/>
              </w:rPr>
              <w:t>实践模块</w:t>
            </w:r>
          </w:p>
        </w:tc>
        <w:tc>
          <w:tcPr>
            <w:tcW w:w="1276" w:type="dxa"/>
            <w:tcBorders>
              <w:top w:val="double" w:color="auto" w:sz="4" w:space="0"/>
              <w:left w:val="nil"/>
              <w:bottom w:val="double" w:color="auto" w:sz="4" w:space="0"/>
              <w:right w:val="single" w:color="auto" w:sz="8" w:space="0"/>
            </w:tcBorders>
            <w:shd w:val="clear" w:color="auto" w:fill="auto"/>
            <w:vAlign w:val="center"/>
          </w:tcPr>
          <w:p>
            <w:pPr>
              <w:widowControl/>
              <w:adjustRightInd w:val="0"/>
              <w:snapToGrid w:val="0"/>
              <w:spacing w:after="0" w:line="240" w:lineRule="auto"/>
              <w:jc w:val="center"/>
              <w:rPr>
                <w:rFonts w:ascii="Times New Roman" w:hAnsi="Times New Roman" w:eastAsia="华文宋体" w:cs="Times New Roman"/>
                <w:color w:val="000000"/>
              </w:rPr>
            </w:pPr>
            <w:r>
              <w:rPr>
                <w:rFonts w:ascii="Times New Roman" w:hAnsi="Times New Roman" w:eastAsia="华文宋体" w:cs="Times New Roman"/>
                <w:color w:val="000000"/>
              </w:rPr>
              <w:t>GCC-401</w:t>
            </w:r>
          </w:p>
        </w:tc>
        <w:tc>
          <w:tcPr>
            <w:tcW w:w="3806" w:type="dxa"/>
            <w:tcBorders>
              <w:top w:val="double" w:color="auto" w:sz="4" w:space="0"/>
              <w:left w:val="nil"/>
              <w:bottom w:val="double" w:color="auto" w:sz="4" w:space="0"/>
              <w:right w:val="single" w:color="auto" w:sz="8" w:space="0"/>
            </w:tcBorders>
            <w:shd w:val="clear" w:color="auto" w:fill="auto"/>
            <w:vAlign w:val="center"/>
          </w:tcPr>
          <w:p>
            <w:pPr>
              <w:widowControl/>
              <w:adjustRightInd w:val="0"/>
              <w:snapToGrid w:val="0"/>
              <w:spacing w:after="0" w:line="240" w:lineRule="auto"/>
              <w:jc w:val="center"/>
              <w:rPr>
                <w:rFonts w:ascii="Times New Roman" w:hAnsi="Times New Roman" w:eastAsia="华文宋体" w:cs="Times New Roman"/>
                <w:color w:val="000000"/>
              </w:rPr>
            </w:pPr>
            <w:r>
              <w:rPr>
                <w:rFonts w:ascii="Times New Roman" w:hAnsi="Times New Roman" w:eastAsia="华文宋体" w:cs="Times New Roman"/>
                <w:color w:val="000000"/>
              </w:rPr>
              <w:t>9项国内外实践活动，活动详细方案商有关高校确定。</w:t>
            </w:r>
          </w:p>
        </w:tc>
        <w:tc>
          <w:tcPr>
            <w:tcW w:w="708" w:type="dxa"/>
            <w:tcBorders>
              <w:top w:val="double" w:color="auto" w:sz="4" w:space="0"/>
              <w:left w:val="nil"/>
              <w:bottom w:val="double" w:color="auto" w:sz="4" w:space="0"/>
              <w:right w:val="single" w:color="auto" w:sz="4" w:space="0"/>
            </w:tcBorders>
            <w:shd w:val="clear" w:color="auto" w:fill="auto"/>
            <w:vAlign w:val="center"/>
          </w:tcPr>
          <w:p>
            <w:pPr>
              <w:widowControl/>
              <w:adjustRightInd w:val="0"/>
              <w:snapToGrid w:val="0"/>
              <w:spacing w:after="0" w:line="240" w:lineRule="auto"/>
              <w:jc w:val="center"/>
              <w:rPr>
                <w:rFonts w:ascii="Times New Roman" w:hAnsi="Times New Roman" w:eastAsia="华文宋体" w:cs="Times New Roman"/>
                <w:color w:val="000000"/>
              </w:rPr>
            </w:pPr>
          </w:p>
        </w:tc>
        <w:tc>
          <w:tcPr>
            <w:tcW w:w="1286" w:type="dxa"/>
            <w:tcBorders>
              <w:top w:val="double" w:color="auto" w:sz="4" w:space="0"/>
              <w:left w:val="single" w:color="auto" w:sz="4" w:space="0"/>
              <w:bottom w:val="double" w:color="auto" w:sz="4" w:space="0"/>
            </w:tcBorders>
            <w:shd w:val="clear" w:color="auto" w:fill="auto"/>
            <w:vAlign w:val="center"/>
          </w:tcPr>
          <w:p>
            <w:pPr>
              <w:widowControl/>
              <w:adjustRightInd w:val="0"/>
              <w:snapToGrid w:val="0"/>
              <w:spacing w:after="0" w:line="240" w:lineRule="auto"/>
              <w:jc w:val="center"/>
              <w:rPr>
                <w:rFonts w:ascii="Times New Roman" w:hAnsi="Times New Roman" w:eastAsia="华文宋体" w:cs="Times New Roman"/>
                <w:color w:val="000000"/>
              </w:rPr>
            </w:pPr>
          </w:p>
        </w:tc>
      </w:tr>
    </w:tbl>
    <w:p>
      <w:pPr>
        <w:pStyle w:val="2"/>
        <w:numPr>
          <w:ilvl w:val="0"/>
          <w:numId w:val="1"/>
        </w:numPr>
        <w:adjustRightInd w:val="0"/>
        <w:snapToGrid w:val="0"/>
        <w:spacing w:before="240" w:after="120" w:line="360" w:lineRule="atLeast"/>
        <w:ind w:left="0"/>
        <w:rPr>
          <w:rFonts w:ascii="Times New Roman" w:hAnsi="Times New Roman" w:cs="Times New Roman"/>
          <w:b/>
          <w:bCs/>
        </w:rPr>
      </w:pPr>
      <w:r>
        <w:rPr>
          <w:rFonts w:ascii="Times New Roman" w:hAnsi="Times New Roman" w:cs="Times New Roman"/>
          <w:b/>
          <w:bCs/>
        </w:rPr>
        <w:t>实践活动</w:t>
      </w:r>
    </w:p>
    <w:p>
      <w:pPr>
        <w:pStyle w:val="3"/>
        <w:adjustRightInd w:val="0"/>
        <w:snapToGrid w:val="0"/>
        <w:spacing w:before="0" w:beforeAutospacing="0" w:after="120" w:afterAutospacing="0" w:line="360" w:lineRule="atLeast"/>
        <w:ind w:firstLine="480" w:firstLineChars="200"/>
        <w:jc w:val="both"/>
        <w:rPr>
          <w:rFonts w:ascii="Times New Roman" w:hAnsi="Times New Roman" w:eastAsia="华文宋体"/>
        </w:rPr>
      </w:pPr>
      <w:r>
        <w:rPr>
          <w:rFonts w:ascii="Times New Roman" w:hAnsi="Times New Roman" w:eastAsia="华文宋体"/>
        </w:rPr>
        <w:t>项目根据全球胜任力培养的需要，安排9项不同主题的短期实践活动，为学生创造走出校门参与实践和实训的机会，帮助学生在实践活动中提升职业竞争力，在国际环境中提升全球胜任力。</w:t>
      </w:r>
    </w:p>
    <w:p>
      <w:pPr>
        <w:pStyle w:val="3"/>
        <w:adjustRightInd w:val="0"/>
        <w:snapToGrid w:val="0"/>
        <w:spacing w:before="0" w:beforeAutospacing="0" w:after="120" w:afterAutospacing="0" w:line="360" w:lineRule="atLeast"/>
        <w:ind w:firstLine="480" w:firstLineChars="200"/>
        <w:jc w:val="both"/>
        <w:rPr>
          <w:rFonts w:ascii="Times New Roman" w:hAnsi="Times New Roman" w:eastAsia="华文宋体"/>
        </w:rPr>
      </w:pPr>
      <w:r>
        <w:rPr>
          <w:rFonts w:ascii="Times New Roman" w:hAnsi="Times New Roman" w:eastAsia="华文宋体"/>
        </w:rPr>
        <w:t>“工作坊”也是项目实践活动的特色内容，依托“新青年全球胜任力研修中心”，通过学术研讨、专题讲座、职场沙龙、互动游戏、艺术赏鉴等互动性较强的方式，力求营造多元文化的环境，为学习者提供独特的全球胜任力提升训练。</w:t>
      </w:r>
    </w:p>
    <w:p>
      <w:pPr>
        <w:pStyle w:val="3"/>
        <w:adjustRightInd w:val="0"/>
        <w:snapToGrid w:val="0"/>
        <w:spacing w:before="0" w:beforeAutospacing="0" w:after="120" w:afterAutospacing="0" w:line="360" w:lineRule="atLeast"/>
        <w:ind w:firstLine="480" w:firstLineChars="200"/>
        <w:jc w:val="both"/>
        <w:rPr>
          <w:rFonts w:ascii="Times New Roman" w:hAnsi="Times New Roman" w:eastAsia="华文宋体"/>
        </w:rPr>
      </w:pPr>
      <w:r>
        <w:rPr>
          <w:rFonts w:ascii="Times New Roman" w:hAnsi="Times New Roman" w:eastAsia="华文宋体"/>
        </w:rPr>
        <w:t>同时，通过本项目建立的</w:t>
      </w:r>
      <w:r>
        <w:rPr>
          <w:rFonts w:hint="eastAsia" w:ascii="Times New Roman" w:hAnsi="Times New Roman" w:eastAsia="华文宋体"/>
        </w:rPr>
        <w:t>国内外</w:t>
      </w:r>
      <w:r>
        <w:rPr>
          <w:rFonts w:ascii="Times New Roman" w:hAnsi="Times New Roman" w:eastAsia="华文宋体"/>
        </w:rPr>
        <w:t>实习实训平台，实践活动为学习者提供了真实的国际交流情境，在多元文化场景和交流中开拓国际视野，提升跨文化沟通能力。实践活动的主题包括（不限于）：以国际组织与国际机构人才培养为目标的培训活动和实习推荐；以大型国企和跨国企业实习为主要内容的国际化企业体验活动；以国际名校研修为主要内容的国际学术研究能力提升活动；以提升思辨能力为主要内容的小型辩论竞赛活动；以开拓国际视野为目的的国际文化体验与研究活动；以提升跨文化传播能力为目标的学生研讨活动等。</w:t>
      </w:r>
    </w:p>
    <w:p>
      <w:pPr>
        <w:pStyle w:val="2"/>
        <w:numPr>
          <w:ilvl w:val="0"/>
          <w:numId w:val="1"/>
        </w:numPr>
        <w:adjustRightInd w:val="0"/>
        <w:snapToGrid w:val="0"/>
        <w:spacing w:before="240" w:after="120" w:line="360" w:lineRule="atLeast"/>
        <w:ind w:left="0"/>
        <w:rPr>
          <w:rFonts w:ascii="Times New Roman" w:hAnsi="Times New Roman" w:cs="Times New Roman"/>
          <w:b/>
          <w:bCs/>
        </w:rPr>
      </w:pPr>
      <w:r>
        <w:rPr>
          <w:rFonts w:ascii="Times New Roman" w:hAnsi="Times New Roman" w:cs="Times New Roman"/>
          <w:b/>
          <w:bCs/>
        </w:rPr>
        <w:t>考核与证书</w:t>
      </w:r>
    </w:p>
    <w:p>
      <w:pPr>
        <w:pStyle w:val="3"/>
        <w:numPr>
          <w:ilvl w:val="0"/>
          <w:numId w:val="4"/>
        </w:numPr>
        <w:adjustRightInd w:val="0"/>
        <w:snapToGrid w:val="0"/>
        <w:spacing w:before="0" w:beforeAutospacing="0" w:after="120" w:afterAutospacing="0" w:line="360" w:lineRule="atLeast"/>
        <w:ind w:left="0" w:firstLine="567"/>
        <w:jc w:val="both"/>
        <w:rPr>
          <w:rFonts w:ascii="Times New Roman" w:hAnsi="Times New Roman" w:eastAsia="华文宋体"/>
          <w:b/>
          <w:bCs/>
        </w:rPr>
      </w:pPr>
      <w:r>
        <w:rPr>
          <w:rFonts w:ascii="Times New Roman" w:hAnsi="Times New Roman" w:eastAsia="华文宋体"/>
          <w:b/>
          <w:bCs/>
        </w:rPr>
        <w:t>考核</w:t>
      </w:r>
    </w:p>
    <w:p>
      <w:pPr>
        <w:pStyle w:val="3"/>
        <w:adjustRightInd w:val="0"/>
        <w:snapToGrid w:val="0"/>
        <w:spacing w:before="0" w:beforeAutospacing="0" w:after="120" w:afterAutospacing="0" w:line="360" w:lineRule="atLeast"/>
        <w:ind w:firstLine="566" w:firstLineChars="236"/>
        <w:rPr>
          <w:rFonts w:ascii="Times New Roman" w:hAnsi="Times New Roman" w:eastAsia="华文宋体"/>
        </w:rPr>
      </w:pPr>
      <w:r>
        <w:rPr>
          <w:rFonts w:ascii="Times New Roman" w:hAnsi="Times New Roman" w:eastAsia="华文宋体"/>
        </w:rPr>
        <w:t>课程考核方式主要为学生选读课程的修读课时、作业完成情况、参与讨论情况、论文撰写情况和参与实践活动情况。总评60分以上为合格。</w:t>
      </w:r>
    </w:p>
    <w:p>
      <w:pPr>
        <w:pStyle w:val="3"/>
        <w:numPr>
          <w:ilvl w:val="0"/>
          <w:numId w:val="4"/>
        </w:numPr>
        <w:adjustRightInd w:val="0"/>
        <w:snapToGrid w:val="0"/>
        <w:spacing w:before="0" w:beforeAutospacing="0" w:after="120" w:afterAutospacing="0" w:line="360" w:lineRule="atLeast"/>
        <w:ind w:left="0" w:firstLine="567"/>
        <w:jc w:val="both"/>
        <w:rPr>
          <w:rFonts w:ascii="Times New Roman" w:hAnsi="Times New Roman" w:eastAsia="华文宋体"/>
          <w:b/>
          <w:bCs/>
        </w:rPr>
      </w:pPr>
      <w:r>
        <w:rPr>
          <w:rFonts w:ascii="Times New Roman" w:hAnsi="Times New Roman" w:eastAsia="华文宋体"/>
          <w:b/>
          <w:bCs/>
        </w:rPr>
        <w:t>证书</w:t>
      </w:r>
    </w:p>
    <w:p>
      <w:pPr>
        <w:pStyle w:val="3"/>
        <w:adjustRightInd w:val="0"/>
        <w:snapToGrid w:val="0"/>
        <w:spacing w:before="0" w:beforeAutospacing="0" w:after="120" w:afterAutospacing="0" w:line="360" w:lineRule="atLeast"/>
        <w:ind w:firstLine="566" w:firstLineChars="236"/>
        <w:rPr>
          <w:rFonts w:ascii="Times New Roman" w:hAnsi="Times New Roman" w:eastAsia="华文宋体"/>
          <w:lang w:eastAsia="zh-Hans"/>
        </w:rPr>
      </w:pPr>
      <w:r>
        <w:rPr>
          <w:rFonts w:ascii="Times New Roman" w:hAnsi="Times New Roman" w:eastAsia="华文宋体"/>
        </w:rPr>
        <w:t>每模块修读1门课程且合格的学生，可获得中国教育国际交流研修学院颁发的中英文双语结业证书。参加实</w:t>
      </w:r>
      <w:r>
        <w:rPr>
          <w:rFonts w:ascii="Times New Roman" w:hAnsi="Times New Roman" w:eastAsia="华文宋体"/>
          <w:lang w:eastAsia="zh-Hans"/>
        </w:rPr>
        <w:t>践活动的学生另可获得与有关活动国内外合作机构联合颁发的相关证书。</w:t>
      </w:r>
    </w:p>
    <w:bookmarkEnd w:id="1"/>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华文宋体">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方正小标宋简体">
    <w:altName w:val="Arial Unicode MS"/>
    <w:panose1 w:val="03000509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CFF1A9E"/>
    <w:multiLevelType w:val="multilevel"/>
    <w:tmpl w:val="1CFF1A9E"/>
    <w:lvl w:ilvl="0" w:tentative="0">
      <w:start w:val="1"/>
      <w:numFmt w:val="decimal"/>
      <w:suff w:val="space"/>
      <w:lvlText w:val="%1、"/>
      <w:lvlJc w:val="left"/>
      <w:pPr>
        <w:ind w:left="1440" w:hanging="360"/>
      </w:pPr>
      <w:rPr>
        <w:rFonts w:hint="default" w:ascii="Times New Roman" w:hAnsi="Times New Roman" w:eastAsia="仿宋" w:cstheme="minorBidi"/>
        <w:b w:val="0"/>
        <w:bCs w:val="0"/>
        <w:i w:val="0"/>
        <w:caps w:val="0"/>
        <w:strike w:val="0"/>
        <w:dstrike w:val="0"/>
        <w:vanish w:val="0"/>
        <w:color w:val="000000" w:themeColor="text1"/>
        <w:vertAlign w:val="baseline"/>
        <w14:textFill>
          <w14:solidFill>
            <w14:schemeClr w14:val="tx1"/>
          </w14:solidFill>
        </w14:textFill>
      </w:rPr>
    </w:lvl>
    <w:lvl w:ilvl="1" w:tentative="0">
      <w:start w:val="1"/>
      <w:numFmt w:val="lowerLetter"/>
      <w:lvlText w:val="%2."/>
      <w:lvlJc w:val="left"/>
      <w:pPr>
        <w:ind w:left="1920" w:hanging="360"/>
      </w:pPr>
    </w:lvl>
    <w:lvl w:ilvl="2" w:tentative="0">
      <w:start w:val="1"/>
      <w:numFmt w:val="lowerRoman"/>
      <w:lvlText w:val="%3."/>
      <w:lvlJc w:val="right"/>
      <w:pPr>
        <w:ind w:left="2640" w:hanging="180"/>
      </w:pPr>
    </w:lvl>
    <w:lvl w:ilvl="3" w:tentative="0">
      <w:start w:val="1"/>
      <w:numFmt w:val="decimal"/>
      <w:lvlText w:val="%4."/>
      <w:lvlJc w:val="left"/>
      <w:pPr>
        <w:ind w:left="3360" w:hanging="360"/>
      </w:pPr>
    </w:lvl>
    <w:lvl w:ilvl="4" w:tentative="0">
      <w:start w:val="1"/>
      <w:numFmt w:val="lowerLetter"/>
      <w:lvlText w:val="%5."/>
      <w:lvlJc w:val="left"/>
      <w:pPr>
        <w:ind w:left="4080" w:hanging="360"/>
      </w:pPr>
    </w:lvl>
    <w:lvl w:ilvl="5" w:tentative="0">
      <w:start w:val="1"/>
      <w:numFmt w:val="lowerRoman"/>
      <w:lvlText w:val="%6."/>
      <w:lvlJc w:val="right"/>
      <w:pPr>
        <w:ind w:left="4800" w:hanging="180"/>
      </w:pPr>
    </w:lvl>
    <w:lvl w:ilvl="6" w:tentative="0">
      <w:start w:val="1"/>
      <w:numFmt w:val="decimal"/>
      <w:lvlText w:val="%7."/>
      <w:lvlJc w:val="left"/>
      <w:pPr>
        <w:ind w:left="5520" w:hanging="360"/>
      </w:pPr>
    </w:lvl>
    <w:lvl w:ilvl="7" w:tentative="0">
      <w:start w:val="1"/>
      <w:numFmt w:val="lowerLetter"/>
      <w:lvlText w:val="%8."/>
      <w:lvlJc w:val="left"/>
      <w:pPr>
        <w:ind w:left="6240" w:hanging="360"/>
      </w:pPr>
    </w:lvl>
    <w:lvl w:ilvl="8" w:tentative="0">
      <w:start w:val="1"/>
      <w:numFmt w:val="lowerRoman"/>
      <w:lvlText w:val="%9."/>
      <w:lvlJc w:val="right"/>
      <w:pPr>
        <w:ind w:left="6960" w:hanging="180"/>
      </w:pPr>
    </w:lvl>
  </w:abstractNum>
  <w:abstractNum w:abstractNumId="1">
    <w:nsid w:val="37BC6B0E"/>
    <w:multiLevelType w:val="multilevel"/>
    <w:tmpl w:val="37BC6B0E"/>
    <w:lvl w:ilvl="0" w:tentative="0">
      <w:start w:val="1"/>
      <w:numFmt w:val="decimal"/>
      <w:suff w:val="space"/>
      <w:lvlText w:val="%1、"/>
      <w:lvlJc w:val="left"/>
      <w:pPr>
        <w:ind w:left="840" w:hanging="360"/>
      </w:pPr>
      <w:rPr>
        <w:rFonts w:hint="default" w:ascii="Times New Roman" w:hAnsi="Times New Roman" w:eastAsia="仿宋" w:cstheme="minorBidi"/>
        <w:b w:val="0"/>
        <w:bCs w:val="0"/>
        <w:i w:val="0"/>
        <w:caps w:val="0"/>
        <w:strike w:val="0"/>
        <w:dstrike w:val="0"/>
        <w:vanish w:val="0"/>
        <w:color w:val="000000" w:themeColor="text1"/>
        <w:vertAlign w:val="baseline"/>
        <w14:textFill>
          <w14:solidFill>
            <w14:schemeClr w14:val="tx1"/>
          </w14:solidFill>
        </w14:textFill>
      </w:rPr>
    </w:lvl>
    <w:lvl w:ilvl="1" w:tentative="0">
      <w:start w:val="1"/>
      <w:numFmt w:val="lowerLetter"/>
      <w:lvlText w:val="%2."/>
      <w:lvlJc w:val="left"/>
      <w:pPr>
        <w:ind w:left="1320" w:hanging="360"/>
      </w:pPr>
    </w:lvl>
    <w:lvl w:ilvl="2" w:tentative="0">
      <w:start w:val="1"/>
      <w:numFmt w:val="lowerRoman"/>
      <w:lvlText w:val="%3."/>
      <w:lvlJc w:val="right"/>
      <w:pPr>
        <w:ind w:left="2040" w:hanging="180"/>
      </w:pPr>
    </w:lvl>
    <w:lvl w:ilvl="3" w:tentative="0">
      <w:start w:val="1"/>
      <w:numFmt w:val="decimal"/>
      <w:lvlText w:val="%4."/>
      <w:lvlJc w:val="left"/>
      <w:pPr>
        <w:ind w:left="2760" w:hanging="360"/>
      </w:pPr>
    </w:lvl>
    <w:lvl w:ilvl="4" w:tentative="0">
      <w:start w:val="1"/>
      <w:numFmt w:val="lowerLetter"/>
      <w:lvlText w:val="%5."/>
      <w:lvlJc w:val="left"/>
      <w:pPr>
        <w:ind w:left="3480" w:hanging="360"/>
      </w:pPr>
    </w:lvl>
    <w:lvl w:ilvl="5" w:tentative="0">
      <w:start w:val="1"/>
      <w:numFmt w:val="lowerRoman"/>
      <w:lvlText w:val="%6."/>
      <w:lvlJc w:val="right"/>
      <w:pPr>
        <w:ind w:left="4200" w:hanging="180"/>
      </w:pPr>
    </w:lvl>
    <w:lvl w:ilvl="6" w:tentative="0">
      <w:start w:val="1"/>
      <w:numFmt w:val="decimal"/>
      <w:lvlText w:val="%7."/>
      <w:lvlJc w:val="left"/>
      <w:pPr>
        <w:ind w:left="4920" w:hanging="360"/>
      </w:pPr>
    </w:lvl>
    <w:lvl w:ilvl="7" w:tentative="0">
      <w:start w:val="1"/>
      <w:numFmt w:val="lowerLetter"/>
      <w:lvlText w:val="%8."/>
      <w:lvlJc w:val="left"/>
      <w:pPr>
        <w:ind w:left="5640" w:hanging="360"/>
      </w:pPr>
    </w:lvl>
    <w:lvl w:ilvl="8" w:tentative="0">
      <w:start w:val="1"/>
      <w:numFmt w:val="lowerRoman"/>
      <w:lvlText w:val="%9."/>
      <w:lvlJc w:val="right"/>
      <w:pPr>
        <w:ind w:left="6360" w:hanging="180"/>
      </w:pPr>
    </w:lvl>
  </w:abstractNum>
  <w:abstractNum w:abstractNumId="2">
    <w:nsid w:val="50772239"/>
    <w:multiLevelType w:val="multilevel"/>
    <w:tmpl w:val="50772239"/>
    <w:lvl w:ilvl="0" w:tentative="0">
      <w:start w:val="1"/>
      <w:numFmt w:val="decimal"/>
      <w:suff w:val="space"/>
      <w:lvlText w:val="%1、"/>
      <w:lvlJc w:val="left"/>
      <w:pPr>
        <w:ind w:left="840" w:hanging="360"/>
      </w:pPr>
      <w:rPr>
        <w:rFonts w:hint="default" w:ascii="Times New Roman" w:hAnsi="Times New Roman" w:eastAsia="仿宋" w:cstheme="minorBidi"/>
        <w:b w:val="0"/>
        <w:bCs w:val="0"/>
        <w:i w:val="0"/>
        <w:caps w:val="0"/>
        <w:strike w:val="0"/>
        <w:dstrike w:val="0"/>
        <w:vanish w:val="0"/>
        <w:color w:val="000000" w:themeColor="text1"/>
        <w:vertAlign w:val="baseline"/>
        <w14:textFill>
          <w14:solidFill>
            <w14:schemeClr w14:val="tx1"/>
          </w14:solidFill>
        </w14:textFill>
      </w:rPr>
    </w:lvl>
    <w:lvl w:ilvl="1" w:tentative="0">
      <w:start w:val="1"/>
      <w:numFmt w:val="lowerLetter"/>
      <w:lvlText w:val="%2."/>
      <w:lvlJc w:val="left"/>
      <w:pPr>
        <w:ind w:left="1320" w:hanging="360"/>
      </w:pPr>
    </w:lvl>
    <w:lvl w:ilvl="2" w:tentative="0">
      <w:start w:val="1"/>
      <w:numFmt w:val="lowerRoman"/>
      <w:lvlText w:val="%3."/>
      <w:lvlJc w:val="right"/>
      <w:pPr>
        <w:ind w:left="2040" w:hanging="180"/>
      </w:pPr>
    </w:lvl>
    <w:lvl w:ilvl="3" w:tentative="0">
      <w:start w:val="1"/>
      <w:numFmt w:val="decimal"/>
      <w:lvlText w:val="%4."/>
      <w:lvlJc w:val="left"/>
      <w:pPr>
        <w:ind w:left="2760" w:hanging="360"/>
      </w:pPr>
    </w:lvl>
    <w:lvl w:ilvl="4" w:tentative="0">
      <w:start w:val="1"/>
      <w:numFmt w:val="lowerLetter"/>
      <w:lvlText w:val="%5."/>
      <w:lvlJc w:val="left"/>
      <w:pPr>
        <w:ind w:left="3480" w:hanging="360"/>
      </w:pPr>
    </w:lvl>
    <w:lvl w:ilvl="5" w:tentative="0">
      <w:start w:val="1"/>
      <w:numFmt w:val="lowerRoman"/>
      <w:lvlText w:val="%6."/>
      <w:lvlJc w:val="right"/>
      <w:pPr>
        <w:ind w:left="4200" w:hanging="180"/>
      </w:pPr>
    </w:lvl>
    <w:lvl w:ilvl="6" w:tentative="0">
      <w:start w:val="1"/>
      <w:numFmt w:val="decimal"/>
      <w:lvlText w:val="%7."/>
      <w:lvlJc w:val="left"/>
      <w:pPr>
        <w:ind w:left="4920" w:hanging="360"/>
      </w:pPr>
    </w:lvl>
    <w:lvl w:ilvl="7" w:tentative="0">
      <w:start w:val="1"/>
      <w:numFmt w:val="lowerLetter"/>
      <w:lvlText w:val="%8."/>
      <w:lvlJc w:val="left"/>
      <w:pPr>
        <w:ind w:left="5640" w:hanging="360"/>
      </w:pPr>
    </w:lvl>
    <w:lvl w:ilvl="8" w:tentative="0">
      <w:start w:val="1"/>
      <w:numFmt w:val="lowerRoman"/>
      <w:lvlText w:val="%9."/>
      <w:lvlJc w:val="right"/>
      <w:pPr>
        <w:ind w:left="6360" w:hanging="180"/>
      </w:pPr>
    </w:lvl>
  </w:abstractNum>
  <w:abstractNum w:abstractNumId="3">
    <w:nsid w:val="5EAFA9C2"/>
    <w:multiLevelType w:val="singleLevel"/>
    <w:tmpl w:val="5EAFA9C2"/>
    <w:lvl w:ilvl="0" w:tentative="0">
      <w:start w:val="1"/>
      <w:numFmt w:val="chineseCounting"/>
      <w:suff w:val="nothing"/>
      <w:lvlText w:val="%1、"/>
      <w:lvlJc w:val="left"/>
      <w:pPr>
        <w:ind w:left="56" w:firstLine="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C74B00"/>
    <w:rsid w:val="1AED4C12"/>
    <w:rsid w:val="34C74B00"/>
    <w:rsid w:val="3F7615D9"/>
    <w:rsid w:val="6A8764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59" w:lineRule="auto"/>
      <w:jc w:val="both"/>
    </w:pPr>
    <w:rPr>
      <w:rFonts w:asciiTheme="minorHAnsi" w:hAnsiTheme="minorHAnsi" w:eastAsiaTheme="minorEastAsia" w:cstheme="minorBidi"/>
      <w:kern w:val="2"/>
      <w:sz w:val="21"/>
      <w:szCs w:val="22"/>
      <w:lang w:val="en-US" w:eastAsia="zh-CN" w:bidi="ar-SA"/>
    </w:rPr>
  </w:style>
  <w:style w:type="paragraph" w:styleId="2">
    <w:name w:val="heading 1"/>
    <w:next w:val="1"/>
    <w:qFormat/>
    <w:uiPriority w:val="9"/>
    <w:pPr>
      <w:keepNext/>
      <w:keepLines/>
      <w:spacing w:after="149" w:line="256" w:lineRule="auto"/>
      <w:ind w:left="10" w:hanging="10"/>
      <w:outlineLvl w:val="0"/>
    </w:pPr>
    <w:rPr>
      <w:rFonts w:ascii="楷体" w:hAnsi="楷体" w:eastAsia="楷体" w:cs="楷体"/>
      <w:color w:val="000000"/>
      <w:sz w:val="28"/>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nhideWhenUsed/>
    <w:qFormat/>
    <w:uiPriority w:val="99"/>
    <w:pPr>
      <w:widowControl/>
      <w:spacing w:before="100" w:beforeAutospacing="1" w:after="100" w:afterAutospacing="1" w:line="240" w:lineRule="auto"/>
      <w:jc w:val="left"/>
    </w:pPr>
    <w:rPr>
      <w:rFonts w:ascii="Arial Unicode MS" w:hAnsi="Arial Unicode MS" w:eastAsia="Times New Roman" w:cs="Times New Roman"/>
      <w:kern w:val="0"/>
      <w:sz w:val="24"/>
      <w:szCs w:val="24"/>
    </w:rPr>
  </w:style>
  <w:style w:type="character" w:styleId="6">
    <w:name w:val="Strong"/>
    <w:basedOn w:val="5"/>
    <w:qFormat/>
    <w:uiPriority w:val="22"/>
    <w:rPr>
      <w:b/>
    </w:rPr>
  </w:style>
  <w:style w:type="paragraph" w:customStyle="1" w:styleId="7">
    <w:name w:val="1"/>
    <w:basedOn w:val="1"/>
    <w:qFormat/>
    <w:uiPriority w:val="0"/>
    <w:rPr>
      <w:rFonts w:asciiTheme="minorAscii" w:hAnsiTheme="minorAscii"/>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1498</Words>
  <Characters>1579</Characters>
  <Lines>0</Lines>
  <Paragraphs>0</Paragraphs>
  <TotalTime>2</TotalTime>
  <ScaleCrop>false</ScaleCrop>
  <LinksUpToDate>false</LinksUpToDate>
  <CharactersWithSpaces>1580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2022-03-08T10:21:00Z</dcterms:created>
  <dc:creator>唐晨</dc:creator>
  <cp:lastModifiedBy>юля^_^晶晶</cp:lastModifiedBy>
  <cp:lastPrinted>2022-03-10T07:39:00Z</cp:lastPrinted>
  <dcterms:modified xsi:type="dcterms:W3CDTF">2022-03-21T07:49:48Z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ABC07C71FF934295B8EF41E1CFC4F377</vt:lpwstr>
  </property>
</Properties>
</file>